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AA68" w14:textId="77777777" w:rsidR="002E1FD6" w:rsidRPr="00E54F33" w:rsidRDefault="002E1FD6" w:rsidP="002E1FD6">
      <w:pPr>
        <w:jc w:val="center"/>
        <w:rPr>
          <w:rFonts w:ascii="Arial" w:hAnsi="Arial" w:cs="Arial"/>
          <w:b/>
          <w:bCs/>
        </w:rPr>
      </w:pPr>
      <w:r>
        <w:rPr>
          <w:rFonts w:ascii="Arial" w:hAnsi="Arial" w:cs="Arial"/>
          <w:b/>
          <w:bCs/>
        </w:rPr>
        <w:t>INFORME I DE ACTUALIZACIÓN DE LOS CATÁLOGOS DE ELEMENTOS DE INFRAESTRUCTURA DE TI – SECTORIAL 2026 1ER SEMESTRE.</w:t>
      </w:r>
    </w:p>
    <w:p w14:paraId="12AF0F28" w14:textId="77777777" w:rsidR="002E1FD6" w:rsidRPr="00E54F33" w:rsidRDefault="002E1FD6" w:rsidP="002E1FD6">
      <w:pPr>
        <w:jc w:val="center"/>
        <w:rPr>
          <w:rFonts w:ascii="Arial" w:hAnsi="Arial" w:cs="Arial"/>
          <w:b/>
          <w:bCs/>
        </w:rPr>
      </w:pPr>
    </w:p>
    <w:p w14:paraId="60E52DEC" w14:textId="77777777" w:rsidR="002E1FD6" w:rsidRPr="00E54F33" w:rsidRDefault="002E1FD6" w:rsidP="002E1FD6">
      <w:pPr>
        <w:keepNext/>
        <w:keepLines/>
        <w:jc w:val="both"/>
        <w:rPr>
          <w:rFonts w:ascii="Arial" w:hAnsi="Arial" w:cs="Arial"/>
          <w:b/>
          <w:bCs/>
        </w:rPr>
      </w:pPr>
      <w:r>
        <w:rPr>
          <w:rFonts w:ascii="Arial" w:hAnsi="Arial" w:cs="Arial"/>
          <w:b/>
          <w:bCs/>
        </w:rPr>
        <w:t>1. PROPÓSITO DEL INFORME.</w:t>
      </w:r>
    </w:p>
    <w:p w14:paraId="531FA002" w14:textId="77777777" w:rsidR="002E1FD6" w:rsidRPr="00E54F33" w:rsidRDefault="002E1FD6" w:rsidP="002E1FD6">
      <w:pPr>
        <w:pStyle w:val="NormalWeb"/>
        <w:jc w:val="both"/>
        <w:rPr>
          <w:rFonts w:ascii="Arial" w:hAnsi="Arial" w:cs="Arial"/>
        </w:rPr>
      </w:pPr>
      <w:r>
        <w:rPr>
          <w:rFonts w:ascii="Arial" w:hAnsi="Arial" w:cs="Arial"/>
        </w:rPr>
        <w:t>El presente informe tiene como propósito consolidar, analizar y presentar el estado integrado del Catálogo de Elementos de Infraestructura Tecnológica del Sector Minas y Energía, a partir de la información reportada por sus entidades adscritas y vinculadas: la Unidad de Planeación Minero Energética (</w:t>
      </w:r>
      <w:r>
        <w:rPr>
          <w:rFonts w:ascii="Arial" w:hAnsi="Arial" w:cs="Arial"/>
          <w:b/>
          <w:bCs/>
        </w:rPr>
        <w:t>UPME</w:t>
      </w:r>
      <w:r>
        <w:rPr>
          <w:rFonts w:ascii="Arial" w:hAnsi="Arial" w:cs="Arial"/>
        </w:rPr>
        <w:t>), la Comisión de Regulación de Energía y Gas (</w:t>
      </w:r>
      <w:r>
        <w:rPr>
          <w:rFonts w:ascii="Arial" w:hAnsi="Arial" w:cs="Arial"/>
          <w:b/>
          <w:bCs/>
        </w:rPr>
        <w:t>CREG</w:t>
      </w:r>
      <w:r>
        <w:rPr>
          <w:rFonts w:ascii="Arial" w:hAnsi="Arial" w:cs="Arial"/>
        </w:rPr>
        <w:t>), el Instituto de Planificación y Promoción de Soluciones Energéticas para las Zonas No Interconectadas (</w:t>
      </w:r>
      <w:r>
        <w:rPr>
          <w:rFonts w:ascii="Arial" w:hAnsi="Arial" w:cs="Arial"/>
          <w:b/>
          <w:bCs/>
        </w:rPr>
        <w:t>IPSE</w:t>
      </w:r>
      <w:r>
        <w:rPr>
          <w:rFonts w:ascii="Arial" w:hAnsi="Arial" w:cs="Arial"/>
        </w:rPr>
        <w:t>), el Servicio Geológico Colombiano (</w:t>
      </w:r>
      <w:r>
        <w:rPr>
          <w:rFonts w:ascii="Arial" w:hAnsi="Arial" w:cs="Arial"/>
          <w:b/>
          <w:bCs/>
        </w:rPr>
        <w:t>SGC</w:t>
      </w:r>
      <w:r>
        <w:rPr>
          <w:rFonts w:ascii="Arial" w:hAnsi="Arial" w:cs="Arial"/>
        </w:rPr>
        <w:t>), el Fondo de Energías No Convencionales y Gestión Eficiente de la Energía (</w:t>
      </w:r>
      <w:r>
        <w:rPr>
          <w:rFonts w:ascii="Arial" w:hAnsi="Arial" w:cs="Arial"/>
          <w:b/>
          <w:bCs/>
        </w:rPr>
        <w:t>FENOGE</w:t>
      </w:r>
      <w:r>
        <w:rPr>
          <w:rFonts w:ascii="Arial" w:hAnsi="Arial" w:cs="Arial"/>
        </w:rPr>
        <w:t>), la Agencia Nacional de Hidrocarburos (</w:t>
      </w:r>
      <w:r>
        <w:rPr>
          <w:rFonts w:ascii="Arial" w:hAnsi="Arial" w:cs="Arial"/>
          <w:b/>
          <w:bCs/>
        </w:rPr>
        <w:t>ANH</w:t>
      </w:r>
      <w:r>
        <w:rPr>
          <w:rFonts w:ascii="Arial" w:hAnsi="Arial" w:cs="Arial"/>
        </w:rPr>
        <w:t>) y la Agencia Nacional de Minería (</w:t>
      </w:r>
      <w:r>
        <w:rPr>
          <w:rFonts w:ascii="Arial" w:hAnsi="Arial" w:cs="Arial"/>
          <w:b/>
          <w:bCs/>
        </w:rPr>
        <w:t>ANM</w:t>
      </w:r>
      <w:r>
        <w:rPr>
          <w:rFonts w:ascii="Arial" w:hAnsi="Arial" w:cs="Arial"/>
        </w:rPr>
        <w:t>).</w:t>
      </w:r>
    </w:p>
    <w:p w14:paraId="7F4A4E6E" w14:textId="77777777" w:rsidR="002E1FD6" w:rsidRPr="00E54F33" w:rsidRDefault="002E1FD6" w:rsidP="002E1FD6">
      <w:pPr>
        <w:pStyle w:val="NormalWeb"/>
        <w:jc w:val="both"/>
        <w:rPr>
          <w:rFonts w:ascii="Arial" w:hAnsi="Arial" w:cs="Arial"/>
        </w:rPr>
      </w:pPr>
      <w:r>
        <w:rPr>
          <w:rFonts w:ascii="Arial" w:hAnsi="Arial" w:cs="Arial"/>
        </w:rPr>
        <w:t xml:space="preserve">Este documento está dirigido al </w:t>
      </w:r>
      <w:proofErr w:type="gramStart"/>
      <w:r>
        <w:rPr>
          <w:rFonts w:ascii="Arial" w:hAnsi="Arial" w:cs="Arial"/>
          <w:b/>
          <w:bCs/>
        </w:rPr>
        <w:t>Jefe</w:t>
      </w:r>
      <w:proofErr w:type="gramEnd"/>
      <w:r>
        <w:rPr>
          <w:rFonts w:ascii="Arial" w:hAnsi="Arial" w:cs="Arial"/>
          <w:b/>
          <w:bCs/>
        </w:rPr>
        <w:t xml:space="preserve"> de la Oficina de Tecnologías de la Información y las Comunicaciones del Ministerio de Minas y Energía</w:t>
      </w:r>
      <w:r>
        <w:rPr>
          <w:rFonts w:ascii="Arial" w:hAnsi="Arial" w:cs="Arial"/>
        </w:rPr>
        <w:t xml:space="preserve"> con el fin de proporcionar un diagnóstico unificado sobre la capacidad, estado de obsolescencia, arquitectura de soporte y niveles de riesgo de la infraestructura tecnológica sectorial. Asimismo, sirve como instrumento de gobernanza para articular la toma de decisiones estratégicas, la estandarización de componentes, la optimización de inversiones públicas en TIC y la alineación con los lineamientos del Plan Estratégico de Tecnologías de la Información (PETI) del Sector.</w:t>
      </w:r>
    </w:p>
    <w:p w14:paraId="60AFCCC4" w14:textId="77777777" w:rsidR="002E1FD6" w:rsidRPr="00E54F33" w:rsidRDefault="002E1FD6" w:rsidP="002E1FD6">
      <w:pPr>
        <w:keepNext/>
        <w:keepLines/>
        <w:rPr>
          <w:rFonts w:ascii="Arial" w:hAnsi="Arial" w:cs="Arial"/>
          <w:b/>
          <w:bCs/>
        </w:rPr>
      </w:pPr>
      <w:r>
        <w:rPr>
          <w:rFonts w:ascii="Arial" w:hAnsi="Arial" w:cs="Arial"/>
          <w:b/>
          <w:bCs/>
        </w:rPr>
        <w:t>1.1 COBERTURA Y REPORTE SECTORIAL.</w:t>
      </w:r>
    </w:p>
    <w:p w14:paraId="534F7051" w14:textId="77777777" w:rsidR="002E1FD6" w:rsidRPr="00E54F33" w:rsidRDefault="002E1FD6" w:rsidP="002E1FD6">
      <w:pPr>
        <w:rPr>
          <w:rFonts w:ascii="Arial" w:hAnsi="Arial" w:cs="Arial"/>
        </w:rPr>
      </w:pPr>
      <w:r>
        <w:rPr>
          <w:rFonts w:ascii="Arial" w:hAnsi="Arial" w:cs="Arial"/>
          <w:b/>
          <w:bCs/>
        </w:rPr>
        <w:t xml:space="preserve">Consolidado: </w:t>
      </w:r>
      <w:r>
        <w:rPr>
          <w:rFonts w:ascii="Arial" w:hAnsi="Arial" w:cs="Arial"/>
        </w:rPr>
        <w:t>7 de 7 entidades entregaron y se analizaron (UPME, CREG, IPSE, SGC, FENOGE, ANH, ANM).</w:t>
      </w:r>
    </w:p>
    <w:p w14:paraId="2994A998" w14:textId="77777777" w:rsidR="002E1FD6" w:rsidRPr="00E54F33" w:rsidRDefault="002E1FD6" w:rsidP="002E1FD6">
      <w:pPr>
        <w:rPr>
          <w:rFonts w:ascii="Arial" w:hAnsi="Arial" w:cs="Arial"/>
          <w:b/>
          <w:bCs/>
        </w:rPr>
      </w:pPr>
    </w:p>
    <w:p w14:paraId="473B01B6" w14:textId="77777777" w:rsidR="002E1FD6" w:rsidRDefault="002E1FD6" w:rsidP="002E1FD6">
      <w:pPr>
        <w:keepNext/>
        <w:keepLines/>
        <w:jc w:val="both"/>
        <w:rPr>
          <w:rFonts w:ascii="Arial" w:hAnsi="Arial" w:cs="Arial"/>
          <w:b/>
          <w:bCs/>
        </w:rPr>
      </w:pPr>
      <w:r>
        <w:rPr>
          <w:rFonts w:ascii="Arial" w:hAnsi="Arial" w:cs="Arial"/>
          <w:b/>
          <w:bCs/>
        </w:rPr>
        <w:t>2. ANÁLISIS POR ENTIDAD ADSCRITA Y VINCULADA AL SECTOR.</w:t>
      </w:r>
    </w:p>
    <w:p w14:paraId="3DBD869F" w14:textId="77777777" w:rsidR="002E1FD6" w:rsidRPr="002E32C3" w:rsidRDefault="002E1FD6" w:rsidP="002E1FD6">
      <w:pPr>
        <w:keepNext/>
        <w:keepLines/>
        <w:jc w:val="both"/>
        <w:rPr>
          <w:rFonts w:ascii="Arial" w:hAnsi="Arial" w:cs="Arial"/>
          <w:b/>
          <w:bCs/>
          <w:sz w:val="24"/>
          <w:szCs w:val="24"/>
        </w:rPr>
      </w:pPr>
      <w:r>
        <w:rPr>
          <w:rFonts w:ascii="Arial" w:hAnsi="Arial" w:cs="Arial"/>
          <w:b/>
          <w:bCs/>
          <w:sz w:val="24"/>
          <w:szCs w:val="24"/>
        </w:rPr>
        <w:t>2.1 UNIDAD DE PLANEACIÓN MINERO ENERGÉTICA (UPME).</w:t>
      </w:r>
    </w:p>
    <w:p w14:paraId="2AE263FF"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4A22E622" w14:textId="77777777" w:rsidR="002E1FD6" w:rsidRPr="00E54F33" w:rsidRDefault="002E1FD6" w:rsidP="002E1FD6">
      <w:pPr>
        <w:jc w:val="both"/>
        <w:rPr>
          <w:rFonts w:ascii="Arial" w:hAnsi="Arial" w:cs="Arial"/>
        </w:rPr>
      </w:pPr>
      <w:r>
        <w:rPr>
          <w:rFonts w:ascii="Arial" w:hAnsi="Arial" w:cs="Arial"/>
        </w:rPr>
        <w:t>El catálogo entregado por la UPME - Unidad de Planeación Minero Energética, contiene 304 registros de elementos de infraestructura tecnológica, todos identificados bajo el prefijo EIT-UPM; Del total de elementos, 277 figuran en estado ACTIVO (91,1%) y 27 en estado INACTIVO (8,9%), estos últimos correspondientes en su mayoría a servidores físicos y switches que fueron reemplazados o entregados al almacén, pero que se mantienen en el catálogo como registro histórico.</w:t>
      </w:r>
    </w:p>
    <w:p w14:paraId="37E37E8B" w14:textId="77777777" w:rsidR="002E1FD6" w:rsidRPr="00E54F33" w:rsidRDefault="002E1FD6" w:rsidP="002E1FD6">
      <w:pPr>
        <w:jc w:val="both"/>
        <w:rPr>
          <w:rFonts w:ascii="Arial" w:hAnsi="Arial" w:cs="Arial"/>
        </w:rPr>
      </w:pPr>
      <w:r>
        <w:rPr>
          <w:rFonts w:ascii="Arial" w:hAnsi="Arial" w:cs="Arial"/>
        </w:rPr>
        <w:lastRenderedPageBreak/>
        <w:t xml:space="preserve">En términos de composición, la UPME muestra una infraestructura fuertemente virtualizada: 218 de los 304 elementos (71,7%) son servidores virtuales o escritorios virtuales operando sobre una plataforma </w:t>
      </w:r>
      <w:proofErr w:type="spellStart"/>
      <w:r>
        <w:rPr>
          <w:rFonts w:ascii="Arial" w:hAnsi="Arial" w:cs="Arial"/>
        </w:rPr>
        <w:t>vSphere</w:t>
      </w:r>
      <w:proofErr w:type="spellEnd"/>
      <w:r>
        <w:rPr>
          <w:rFonts w:ascii="Arial" w:hAnsi="Arial" w:cs="Arial"/>
        </w:rPr>
        <w:t xml:space="preserve"> (versión 8.0.3.00400), y el hardware físico remanente se concentra en red (switches,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firewalls, </w:t>
      </w:r>
      <w:proofErr w:type="spellStart"/>
      <w:r>
        <w:rPr>
          <w:rFonts w:ascii="Arial" w:hAnsi="Arial" w:cs="Arial"/>
        </w:rPr>
        <w:t>routers</w:t>
      </w:r>
      <w:proofErr w:type="spellEnd"/>
      <w:r>
        <w:rPr>
          <w:rFonts w:ascii="Arial" w:hAnsi="Arial" w:cs="Arial"/>
        </w:rPr>
        <w:t>) y en el músculo del centro de datos (racks, UPS).</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1400"/>
        <w:gridCol w:w="1400"/>
      </w:tblGrid>
      <w:tr w:rsidR="002E1FD6" w:rsidRPr="00E54F33" w14:paraId="6E712B95" w14:textId="77777777" w:rsidTr="003A4183">
        <w:trPr>
          <w:jc w:val="center"/>
        </w:trPr>
        <w:tc>
          <w:tcPr>
            <w:tcW w:w="2600" w:type="dxa"/>
            <w:shd w:val="clear" w:color="auto" w:fill="1F3864"/>
            <w:tcMar>
              <w:top w:w="80" w:type="dxa"/>
              <w:left w:w="100" w:type="dxa"/>
              <w:bottom w:w="80" w:type="dxa"/>
              <w:right w:w="100" w:type="dxa"/>
            </w:tcMar>
            <w:vAlign w:val="center"/>
          </w:tcPr>
          <w:p w14:paraId="2D7A6C52" w14:textId="77777777" w:rsidR="002E1FD6" w:rsidRPr="00E54F33" w:rsidRDefault="002E1FD6" w:rsidP="003A4183">
            <w:pPr>
              <w:jc w:val="center"/>
              <w:rPr>
                <w:rFonts w:ascii="Arial" w:hAnsi="Arial" w:cs="Arial"/>
              </w:rPr>
            </w:pPr>
            <w:r>
              <w:rPr>
                <w:rFonts w:ascii="Arial" w:hAnsi="Arial" w:cs="Arial"/>
                <w:b/>
                <w:bCs/>
                <w:color w:val="FFFFFF"/>
                <w:sz w:val="20"/>
                <w:szCs w:val="20"/>
              </w:rPr>
              <w:t>Tipo de elemento</w:t>
            </w:r>
          </w:p>
        </w:tc>
        <w:tc>
          <w:tcPr>
            <w:tcW w:w="1400" w:type="dxa"/>
            <w:shd w:val="clear" w:color="auto" w:fill="1F3864"/>
            <w:tcMar>
              <w:top w:w="80" w:type="dxa"/>
              <w:left w:w="100" w:type="dxa"/>
              <w:bottom w:w="80" w:type="dxa"/>
              <w:right w:w="100" w:type="dxa"/>
            </w:tcMar>
            <w:vAlign w:val="center"/>
          </w:tcPr>
          <w:p w14:paraId="4C9A46C0" w14:textId="77777777" w:rsidR="002E1FD6" w:rsidRPr="00E54F33" w:rsidRDefault="002E1FD6" w:rsidP="003A4183">
            <w:pPr>
              <w:jc w:val="center"/>
              <w:rPr>
                <w:rFonts w:ascii="Arial" w:hAnsi="Arial" w:cs="Arial"/>
              </w:rPr>
            </w:pPr>
            <w:r>
              <w:rPr>
                <w:rFonts w:ascii="Arial" w:hAnsi="Arial" w:cs="Arial"/>
                <w:b/>
                <w:bCs/>
                <w:color w:val="FFFFFF"/>
                <w:sz w:val="20"/>
                <w:szCs w:val="20"/>
              </w:rPr>
              <w:t>Registros</w:t>
            </w:r>
          </w:p>
        </w:tc>
        <w:tc>
          <w:tcPr>
            <w:tcW w:w="1400" w:type="dxa"/>
            <w:shd w:val="clear" w:color="auto" w:fill="1F3864"/>
            <w:tcMar>
              <w:top w:w="80" w:type="dxa"/>
              <w:left w:w="100" w:type="dxa"/>
              <w:bottom w:w="80" w:type="dxa"/>
              <w:right w:w="100" w:type="dxa"/>
            </w:tcMar>
            <w:vAlign w:val="center"/>
          </w:tcPr>
          <w:p w14:paraId="55992018" w14:textId="77777777" w:rsidR="002E1FD6" w:rsidRPr="00E54F33" w:rsidRDefault="002E1FD6" w:rsidP="003A4183">
            <w:pPr>
              <w:jc w:val="center"/>
              <w:rPr>
                <w:rFonts w:ascii="Arial" w:hAnsi="Arial" w:cs="Arial"/>
              </w:rPr>
            </w:pPr>
            <w:r>
              <w:rPr>
                <w:rFonts w:ascii="Arial" w:hAnsi="Arial" w:cs="Arial"/>
                <w:b/>
                <w:bCs/>
                <w:color w:val="FFFFFF"/>
                <w:sz w:val="20"/>
                <w:szCs w:val="20"/>
              </w:rPr>
              <w:t>% del total</w:t>
            </w:r>
          </w:p>
        </w:tc>
      </w:tr>
      <w:tr w:rsidR="002E1FD6" w:rsidRPr="00E54F33" w14:paraId="7054FBB0" w14:textId="77777777" w:rsidTr="003A4183">
        <w:trPr>
          <w:jc w:val="center"/>
        </w:trPr>
        <w:tc>
          <w:tcPr>
            <w:tcW w:w="2600" w:type="dxa"/>
            <w:tcMar>
              <w:top w:w="80" w:type="dxa"/>
              <w:left w:w="100" w:type="dxa"/>
              <w:bottom w:w="80" w:type="dxa"/>
              <w:right w:w="100" w:type="dxa"/>
            </w:tcMar>
            <w:vAlign w:val="center"/>
          </w:tcPr>
          <w:p w14:paraId="06A1DE6E" w14:textId="77777777" w:rsidR="002E1FD6" w:rsidRPr="00E54F33" w:rsidRDefault="002E1FD6" w:rsidP="003A4183">
            <w:pPr>
              <w:rPr>
                <w:rFonts w:ascii="Arial" w:hAnsi="Arial" w:cs="Arial"/>
                <w:b/>
                <w:bCs/>
              </w:rPr>
            </w:pPr>
            <w:r>
              <w:rPr>
                <w:rFonts w:ascii="Arial" w:hAnsi="Arial" w:cs="Arial"/>
                <w:b/>
                <w:bCs/>
                <w:color w:val="202020"/>
                <w:sz w:val="20"/>
                <w:szCs w:val="20"/>
              </w:rPr>
              <w:t>Servidor virtual</w:t>
            </w:r>
          </w:p>
        </w:tc>
        <w:tc>
          <w:tcPr>
            <w:tcW w:w="1400" w:type="dxa"/>
            <w:tcMar>
              <w:top w:w="80" w:type="dxa"/>
              <w:left w:w="100" w:type="dxa"/>
              <w:bottom w:w="80" w:type="dxa"/>
              <w:right w:w="100" w:type="dxa"/>
            </w:tcMar>
            <w:vAlign w:val="center"/>
          </w:tcPr>
          <w:p w14:paraId="0ADED9A3" w14:textId="77777777" w:rsidR="002E1FD6" w:rsidRPr="00E54F33" w:rsidRDefault="002E1FD6" w:rsidP="003A4183">
            <w:pPr>
              <w:jc w:val="center"/>
              <w:rPr>
                <w:rFonts w:ascii="Arial" w:hAnsi="Arial" w:cs="Arial"/>
              </w:rPr>
            </w:pPr>
            <w:r>
              <w:rPr>
                <w:rFonts w:ascii="Arial" w:hAnsi="Arial" w:cs="Arial"/>
                <w:color w:val="202020"/>
                <w:sz w:val="20"/>
                <w:szCs w:val="20"/>
              </w:rPr>
              <w:t>124</w:t>
            </w:r>
          </w:p>
        </w:tc>
        <w:tc>
          <w:tcPr>
            <w:tcW w:w="1400" w:type="dxa"/>
            <w:tcMar>
              <w:top w:w="80" w:type="dxa"/>
              <w:left w:w="100" w:type="dxa"/>
              <w:bottom w:w="80" w:type="dxa"/>
              <w:right w:w="100" w:type="dxa"/>
            </w:tcMar>
            <w:vAlign w:val="center"/>
          </w:tcPr>
          <w:p w14:paraId="224FF41F" w14:textId="77777777" w:rsidR="002E1FD6" w:rsidRPr="00E54F33" w:rsidRDefault="002E1FD6" w:rsidP="003A4183">
            <w:pPr>
              <w:jc w:val="center"/>
              <w:rPr>
                <w:rFonts w:ascii="Arial" w:hAnsi="Arial" w:cs="Arial"/>
              </w:rPr>
            </w:pPr>
            <w:r>
              <w:rPr>
                <w:rFonts w:ascii="Arial" w:hAnsi="Arial" w:cs="Arial"/>
                <w:color w:val="202020"/>
                <w:sz w:val="20"/>
                <w:szCs w:val="20"/>
              </w:rPr>
              <w:t>40,8%</w:t>
            </w:r>
          </w:p>
        </w:tc>
      </w:tr>
      <w:tr w:rsidR="002E1FD6" w:rsidRPr="00E54F33" w14:paraId="58BAE8D5" w14:textId="77777777" w:rsidTr="003A4183">
        <w:trPr>
          <w:jc w:val="center"/>
        </w:trPr>
        <w:tc>
          <w:tcPr>
            <w:tcW w:w="2600" w:type="dxa"/>
            <w:shd w:val="clear" w:color="auto" w:fill="EAF0F8"/>
            <w:tcMar>
              <w:top w:w="80" w:type="dxa"/>
              <w:left w:w="100" w:type="dxa"/>
              <w:bottom w:w="80" w:type="dxa"/>
              <w:right w:w="100" w:type="dxa"/>
            </w:tcMar>
            <w:vAlign w:val="center"/>
          </w:tcPr>
          <w:p w14:paraId="07487225" w14:textId="77777777" w:rsidR="002E1FD6" w:rsidRPr="00E54F33" w:rsidRDefault="002E1FD6" w:rsidP="003A4183">
            <w:pPr>
              <w:rPr>
                <w:rFonts w:ascii="Arial" w:hAnsi="Arial" w:cs="Arial"/>
                <w:b/>
                <w:bCs/>
              </w:rPr>
            </w:pPr>
            <w:r>
              <w:rPr>
                <w:rFonts w:ascii="Arial" w:hAnsi="Arial" w:cs="Arial"/>
                <w:b/>
                <w:bCs/>
                <w:color w:val="202020"/>
                <w:sz w:val="20"/>
                <w:szCs w:val="20"/>
              </w:rPr>
              <w:t>Escritorio virtual (VDI)</w:t>
            </w:r>
          </w:p>
        </w:tc>
        <w:tc>
          <w:tcPr>
            <w:tcW w:w="1400" w:type="dxa"/>
            <w:shd w:val="clear" w:color="auto" w:fill="EAF0F8"/>
            <w:tcMar>
              <w:top w:w="80" w:type="dxa"/>
              <w:left w:w="100" w:type="dxa"/>
              <w:bottom w:w="80" w:type="dxa"/>
              <w:right w:w="100" w:type="dxa"/>
            </w:tcMar>
            <w:vAlign w:val="center"/>
          </w:tcPr>
          <w:p w14:paraId="014FBBCE" w14:textId="77777777" w:rsidR="002E1FD6" w:rsidRPr="00E54F33" w:rsidRDefault="002E1FD6" w:rsidP="003A4183">
            <w:pPr>
              <w:jc w:val="center"/>
              <w:rPr>
                <w:rFonts w:ascii="Arial" w:hAnsi="Arial" w:cs="Arial"/>
              </w:rPr>
            </w:pPr>
            <w:r>
              <w:rPr>
                <w:rFonts w:ascii="Arial" w:hAnsi="Arial" w:cs="Arial"/>
                <w:color w:val="202020"/>
                <w:sz w:val="20"/>
                <w:szCs w:val="20"/>
              </w:rPr>
              <w:t>94</w:t>
            </w:r>
          </w:p>
        </w:tc>
        <w:tc>
          <w:tcPr>
            <w:tcW w:w="1400" w:type="dxa"/>
            <w:shd w:val="clear" w:color="auto" w:fill="EAF0F8"/>
            <w:tcMar>
              <w:top w:w="80" w:type="dxa"/>
              <w:left w:w="100" w:type="dxa"/>
              <w:bottom w:w="80" w:type="dxa"/>
              <w:right w:w="100" w:type="dxa"/>
            </w:tcMar>
            <w:vAlign w:val="center"/>
          </w:tcPr>
          <w:p w14:paraId="6AE47073" w14:textId="77777777" w:rsidR="002E1FD6" w:rsidRPr="00E54F33" w:rsidRDefault="002E1FD6" w:rsidP="003A4183">
            <w:pPr>
              <w:jc w:val="center"/>
              <w:rPr>
                <w:rFonts w:ascii="Arial" w:hAnsi="Arial" w:cs="Arial"/>
              </w:rPr>
            </w:pPr>
            <w:r>
              <w:rPr>
                <w:rFonts w:ascii="Arial" w:hAnsi="Arial" w:cs="Arial"/>
                <w:color w:val="202020"/>
                <w:sz w:val="20"/>
                <w:szCs w:val="20"/>
              </w:rPr>
              <w:t>30,9%</w:t>
            </w:r>
          </w:p>
        </w:tc>
      </w:tr>
      <w:tr w:rsidR="002E1FD6" w:rsidRPr="00E54F33" w14:paraId="33922D8C" w14:textId="77777777" w:rsidTr="003A4183">
        <w:trPr>
          <w:jc w:val="center"/>
        </w:trPr>
        <w:tc>
          <w:tcPr>
            <w:tcW w:w="2600" w:type="dxa"/>
            <w:tcMar>
              <w:top w:w="80" w:type="dxa"/>
              <w:left w:w="100" w:type="dxa"/>
              <w:bottom w:w="80" w:type="dxa"/>
              <w:right w:w="100" w:type="dxa"/>
            </w:tcMar>
            <w:vAlign w:val="center"/>
          </w:tcPr>
          <w:p w14:paraId="15831EE7" w14:textId="77777777" w:rsidR="002E1FD6" w:rsidRPr="00E54F33" w:rsidRDefault="002E1FD6" w:rsidP="003A4183">
            <w:pPr>
              <w:rPr>
                <w:rFonts w:ascii="Arial" w:hAnsi="Arial" w:cs="Arial"/>
                <w:b/>
                <w:bCs/>
              </w:rPr>
            </w:pPr>
            <w:r>
              <w:rPr>
                <w:rFonts w:ascii="Arial" w:hAnsi="Arial" w:cs="Arial"/>
                <w:b/>
                <w:bCs/>
                <w:color w:val="202020"/>
                <w:sz w:val="20"/>
                <w:szCs w:val="20"/>
              </w:rPr>
              <w:t>Servidor físico</w:t>
            </w:r>
          </w:p>
        </w:tc>
        <w:tc>
          <w:tcPr>
            <w:tcW w:w="1400" w:type="dxa"/>
            <w:tcMar>
              <w:top w:w="80" w:type="dxa"/>
              <w:left w:w="100" w:type="dxa"/>
              <w:bottom w:w="80" w:type="dxa"/>
              <w:right w:w="100" w:type="dxa"/>
            </w:tcMar>
            <w:vAlign w:val="center"/>
          </w:tcPr>
          <w:p w14:paraId="6245507E" w14:textId="77777777" w:rsidR="002E1FD6" w:rsidRPr="00E54F33" w:rsidRDefault="002E1FD6" w:rsidP="003A4183">
            <w:pPr>
              <w:jc w:val="center"/>
              <w:rPr>
                <w:rFonts w:ascii="Arial" w:hAnsi="Arial" w:cs="Arial"/>
              </w:rPr>
            </w:pPr>
            <w:r>
              <w:rPr>
                <w:rFonts w:ascii="Arial" w:hAnsi="Arial" w:cs="Arial"/>
                <w:color w:val="202020"/>
                <w:sz w:val="20"/>
                <w:szCs w:val="20"/>
              </w:rPr>
              <w:t>19</w:t>
            </w:r>
          </w:p>
        </w:tc>
        <w:tc>
          <w:tcPr>
            <w:tcW w:w="1400" w:type="dxa"/>
            <w:tcMar>
              <w:top w:w="80" w:type="dxa"/>
              <w:left w:w="100" w:type="dxa"/>
              <w:bottom w:w="80" w:type="dxa"/>
              <w:right w:w="100" w:type="dxa"/>
            </w:tcMar>
            <w:vAlign w:val="center"/>
          </w:tcPr>
          <w:p w14:paraId="182DE40B" w14:textId="77777777" w:rsidR="002E1FD6" w:rsidRPr="00E54F33" w:rsidRDefault="002E1FD6" w:rsidP="003A4183">
            <w:pPr>
              <w:jc w:val="center"/>
              <w:rPr>
                <w:rFonts w:ascii="Arial" w:hAnsi="Arial" w:cs="Arial"/>
              </w:rPr>
            </w:pPr>
            <w:r>
              <w:rPr>
                <w:rFonts w:ascii="Arial" w:hAnsi="Arial" w:cs="Arial"/>
                <w:color w:val="202020"/>
                <w:sz w:val="20"/>
                <w:szCs w:val="20"/>
              </w:rPr>
              <w:t>6,3%</w:t>
            </w:r>
          </w:p>
        </w:tc>
      </w:tr>
      <w:tr w:rsidR="002E1FD6" w:rsidRPr="00E54F33" w14:paraId="5537F4ED" w14:textId="77777777" w:rsidTr="003A4183">
        <w:trPr>
          <w:jc w:val="center"/>
        </w:trPr>
        <w:tc>
          <w:tcPr>
            <w:tcW w:w="2600" w:type="dxa"/>
            <w:shd w:val="clear" w:color="auto" w:fill="EAF0F8"/>
            <w:tcMar>
              <w:top w:w="80" w:type="dxa"/>
              <w:left w:w="100" w:type="dxa"/>
              <w:bottom w:w="80" w:type="dxa"/>
              <w:right w:w="100" w:type="dxa"/>
            </w:tcMar>
            <w:vAlign w:val="center"/>
          </w:tcPr>
          <w:p w14:paraId="09EA2C81" w14:textId="77777777" w:rsidR="002E1FD6" w:rsidRPr="00E54F33" w:rsidRDefault="002E1FD6" w:rsidP="003A4183">
            <w:pPr>
              <w:rPr>
                <w:rFonts w:ascii="Arial" w:hAnsi="Arial" w:cs="Arial"/>
                <w:b/>
                <w:bCs/>
              </w:rPr>
            </w:pPr>
            <w:r>
              <w:rPr>
                <w:rFonts w:ascii="Arial" w:hAnsi="Arial" w:cs="Arial"/>
                <w:b/>
                <w:bCs/>
                <w:color w:val="202020"/>
                <w:sz w:val="20"/>
                <w:szCs w:val="20"/>
              </w:rPr>
              <w:t>Switch</w:t>
            </w:r>
          </w:p>
        </w:tc>
        <w:tc>
          <w:tcPr>
            <w:tcW w:w="1400" w:type="dxa"/>
            <w:shd w:val="clear" w:color="auto" w:fill="EAF0F8"/>
            <w:tcMar>
              <w:top w:w="80" w:type="dxa"/>
              <w:left w:w="100" w:type="dxa"/>
              <w:bottom w:w="80" w:type="dxa"/>
              <w:right w:w="100" w:type="dxa"/>
            </w:tcMar>
            <w:vAlign w:val="center"/>
          </w:tcPr>
          <w:p w14:paraId="77B9FFC4" w14:textId="77777777" w:rsidR="002E1FD6" w:rsidRPr="00E54F33" w:rsidRDefault="002E1FD6" w:rsidP="003A4183">
            <w:pPr>
              <w:jc w:val="center"/>
              <w:rPr>
                <w:rFonts w:ascii="Arial" w:hAnsi="Arial" w:cs="Arial"/>
              </w:rPr>
            </w:pPr>
            <w:r>
              <w:rPr>
                <w:rFonts w:ascii="Arial" w:hAnsi="Arial" w:cs="Arial"/>
                <w:color w:val="202020"/>
                <w:sz w:val="20"/>
                <w:szCs w:val="20"/>
              </w:rPr>
              <w:t>19</w:t>
            </w:r>
          </w:p>
        </w:tc>
        <w:tc>
          <w:tcPr>
            <w:tcW w:w="1400" w:type="dxa"/>
            <w:shd w:val="clear" w:color="auto" w:fill="EAF0F8"/>
            <w:tcMar>
              <w:top w:w="80" w:type="dxa"/>
              <w:left w:w="100" w:type="dxa"/>
              <w:bottom w:w="80" w:type="dxa"/>
              <w:right w:w="100" w:type="dxa"/>
            </w:tcMar>
            <w:vAlign w:val="center"/>
          </w:tcPr>
          <w:p w14:paraId="3595F72B" w14:textId="77777777" w:rsidR="002E1FD6" w:rsidRPr="00E54F33" w:rsidRDefault="002E1FD6" w:rsidP="003A4183">
            <w:pPr>
              <w:jc w:val="center"/>
              <w:rPr>
                <w:rFonts w:ascii="Arial" w:hAnsi="Arial" w:cs="Arial"/>
              </w:rPr>
            </w:pPr>
            <w:r>
              <w:rPr>
                <w:rFonts w:ascii="Arial" w:hAnsi="Arial" w:cs="Arial"/>
                <w:color w:val="202020"/>
                <w:sz w:val="20"/>
                <w:szCs w:val="20"/>
              </w:rPr>
              <w:t>6,3%</w:t>
            </w:r>
          </w:p>
        </w:tc>
      </w:tr>
      <w:tr w:rsidR="002E1FD6" w:rsidRPr="00E54F33" w14:paraId="486632D7" w14:textId="77777777" w:rsidTr="003A4183">
        <w:trPr>
          <w:jc w:val="center"/>
        </w:trPr>
        <w:tc>
          <w:tcPr>
            <w:tcW w:w="2600" w:type="dxa"/>
            <w:tcMar>
              <w:top w:w="80" w:type="dxa"/>
              <w:left w:w="100" w:type="dxa"/>
              <w:bottom w:w="80" w:type="dxa"/>
              <w:right w:w="100" w:type="dxa"/>
            </w:tcMar>
            <w:vAlign w:val="center"/>
          </w:tcPr>
          <w:p w14:paraId="5EBC0CCD" w14:textId="77777777" w:rsidR="002E1FD6" w:rsidRPr="00E54F33" w:rsidRDefault="002E1FD6" w:rsidP="003A4183">
            <w:pPr>
              <w:rPr>
                <w:rFonts w:ascii="Arial" w:hAnsi="Arial" w:cs="Arial"/>
                <w:b/>
                <w:bCs/>
              </w:rPr>
            </w:pPr>
            <w:r>
              <w:rPr>
                <w:rFonts w:ascii="Arial" w:hAnsi="Arial" w:cs="Arial"/>
                <w:b/>
                <w:bCs/>
                <w:color w:val="202020"/>
                <w:sz w:val="20"/>
                <w:szCs w:val="20"/>
              </w:rPr>
              <w:t xml:space="preserve">Access </w:t>
            </w:r>
            <w:proofErr w:type="spellStart"/>
            <w:r>
              <w:rPr>
                <w:rFonts w:ascii="Arial" w:hAnsi="Arial" w:cs="Arial"/>
                <w:b/>
                <w:bCs/>
                <w:color w:val="202020"/>
                <w:sz w:val="20"/>
                <w:szCs w:val="20"/>
              </w:rPr>
              <w:t>point</w:t>
            </w:r>
            <w:proofErr w:type="spellEnd"/>
          </w:p>
        </w:tc>
        <w:tc>
          <w:tcPr>
            <w:tcW w:w="1400" w:type="dxa"/>
            <w:tcMar>
              <w:top w:w="80" w:type="dxa"/>
              <w:left w:w="100" w:type="dxa"/>
              <w:bottom w:w="80" w:type="dxa"/>
              <w:right w:w="100" w:type="dxa"/>
            </w:tcMar>
            <w:vAlign w:val="center"/>
          </w:tcPr>
          <w:p w14:paraId="6F43F31B" w14:textId="77777777" w:rsidR="002E1FD6" w:rsidRPr="00E54F33" w:rsidRDefault="002E1FD6" w:rsidP="003A4183">
            <w:pPr>
              <w:jc w:val="center"/>
              <w:rPr>
                <w:rFonts w:ascii="Arial" w:hAnsi="Arial" w:cs="Arial"/>
              </w:rPr>
            </w:pPr>
            <w:r>
              <w:rPr>
                <w:rFonts w:ascii="Arial" w:hAnsi="Arial" w:cs="Arial"/>
                <w:color w:val="202020"/>
                <w:sz w:val="20"/>
                <w:szCs w:val="20"/>
              </w:rPr>
              <w:t>9</w:t>
            </w:r>
          </w:p>
        </w:tc>
        <w:tc>
          <w:tcPr>
            <w:tcW w:w="1400" w:type="dxa"/>
            <w:tcMar>
              <w:top w:w="80" w:type="dxa"/>
              <w:left w:w="100" w:type="dxa"/>
              <w:bottom w:w="80" w:type="dxa"/>
              <w:right w:w="100" w:type="dxa"/>
            </w:tcMar>
            <w:vAlign w:val="center"/>
          </w:tcPr>
          <w:p w14:paraId="1CD23C76" w14:textId="77777777" w:rsidR="002E1FD6" w:rsidRPr="00E54F33" w:rsidRDefault="002E1FD6" w:rsidP="003A4183">
            <w:pPr>
              <w:jc w:val="center"/>
              <w:rPr>
                <w:rFonts w:ascii="Arial" w:hAnsi="Arial" w:cs="Arial"/>
              </w:rPr>
            </w:pPr>
            <w:r>
              <w:rPr>
                <w:rFonts w:ascii="Arial" w:hAnsi="Arial" w:cs="Arial"/>
                <w:color w:val="202020"/>
                <w:sz w:val="20"/>
                <w:szCs w:val="20"/>
              </w:rPr>
              <w:t>3,0%</w:t>
            </w:r>
          </w:p>
        </w:tc>
      </w:tr>
      <w:tr w:rsidR="002E1FD6" w:rsidRPr="00E54F33" w14:paraId="1D1806AF" w14:textId="77777777" w:rsidTr="003A4183">
        <w:trPr>
          <w:jc w:val="center"/>
        </w:trPr>
        <w:tc>
          <w:tcPr>
            <w:tcW w:w="2600" w:type="dxa"/>
            <w:shd w:val="clear" w:color="auto" w:fill="EAF0F8"/>
            <w:tcMar>
              <w:top w:w="80" w:type="dxa"/>
              <w:left w:w="100" w:type="dxa"/>
              <w:bottom w:w="80" w:type="dxa"/>
              <w:right w:w="100" w:type="dxa"/>
            </w:tcMar>
            <w:vAlign w:val="center"/>
          </w:tcPr>
          <w:p w14:paraId="13B92FE2" w14:textId="77777777" w:rsidR="002E1FD6" w:rsidRPr="00E54F33" w:rsidRDefault="002E1FD6" w:rsidP="003A4183">
            <w:pPr>
              <w:rPr>
                <w:rFonts w:ascii="Arial" w:hAnsi="Arial" w:cs="Arial"/>
                <w:b/>
                <w:bCs/>
              </w:rPr>
            </w:pPr>
            <w:proofErr w:type="spellStart"/>
            <w:r>
              <w:rPr>
                <w:rFonts w:ascii="Arial" w:hAnsi="Arial" w:cs="Arial"/>
                <w:b/>
                <w:bCs/>
                <w:color w:val="202020"/>
                <w:sz w:val="20"/>
                <w:szCs w:val="20"/>
              </w:rPr>
              <w:t>Appliance</w:t>
            </w:r>
            <w:proofErr w:type="spellEnd"/>
          </w:p>
        </w:tc>
        <w:tc>
          <w:tcPr>
            <w:tcW w:w="1400" w:type="dxa"/>
            <w:shd w:val="clear" w:color="auto" w:fill="EAF0F8"/>
            <w:tcMar>
              <w:top w:w="80" w:type="dxa"/>
              <w:left w:w="100" w:type="dxa"/>
              <w:bottom w:w="80" w:type="dxa"/>
              <w:right w:w="100" w:type="dxa"/>
            </w:tcMar>
            <w:vAlign w:val="center"/>
          </w:tcPr>
          <w:p w14:paraId="426EB968" w14:textId="77777777" w:rsidR="002E1FD6" w:rsidRPr="00E54F33" w:rsidRDefault="002E1FD6" w:rsidP="003A4183">
            <w:pPr>
              <w:jc w:val="center"/>
              <w:rPr>
                <w:rFonts w:ascii="Arial" w:hAnsi="Arial" w:cs="Arial"/>
              </w:rPr>
            </w:pPr>
            <w:r>
              <w:rPr>
                <w:rFonts w:ascii="Arial" w:hAnsi="Arial" w:cs="Arial"/>
                <w:color w:val="202020"/>
                <w:sz w:val="20"/>
                <w:szCs w:val="20"/>
              </w:rPr>
              <w:t>8</w:t>
            </w:r>
          </w:p>
        </w:tc>
        <w:tc>
          <w:tcPr>
            <w:tcW w:w="1400" w:type="dxa"/>
            <w:shd w:val="clear" w:color="auto" w:fill="EAF0F8"/>
            <w:tcMar>
              <w:top w:w="80" w:type="dxa"/>
              <w:left w:w="100" w:type="dxa"/>
              <w:bottom w:w="80" w:type="dxa"/>
              <w:right w:w="100" w:type="dxa"/>
            </w:tcMar>
            <w:vAlign w:val="center"/>
          </w:tcPr>
          <w:p w14:paraId="2CCBAF7D" w14:textId="77777777" w:rsidR="002E1FD6" w:rsidRPr="00E54F33" w:rsidRDefault="002E1FD6" w:rsidP="003A4183">
            <w:pPr>
              <w:jc w:val="center"/>
              <w:rPr>
                <w:rFonts w:ascii="Arial" w:hAnsi="Arial" w:cs="Arial"/>
              </w:rPr>
            </w:pPr>
            <w:r>
              <w:rPr>
                <w:rFonts w:ascii="Arial" w:hAnsi="Arial" w:cs="Arial"/>
                <w:color w:val="202020"/>
                <w:sz w:val="20"/>
                <w:szCs w:val="20"/>
              </w:rPr>
              <w:t>2,6%</w:t>
            </w:r>
          </w:p>
        </w:tc>
      </w:tr>
      <w:tr w:rsidR="002E1FD6" w:rsidRPr="00E54F33" w14:paraId="27C605A4" w14:textId="77777777" w:rsidTr="003A4183">
        <w:trPr>
          <w:jc w:val="center"/>
        </w:trPr>
        <w:tc>
          <w:tcPr>
            <w:tcW w:w="2600" w:type="dxa"/>
            <w:tcMar>
              <w:top w:w="80" w:type="dxa"/>
              <w:left w:w="100" w:type="dxa"/>
              <w:bottom w:w="80" w:type="dxa"/>
              <w:right w:w="100" w:type="dxa"/>
            </w:tcMar>
            <w:vAlign w:val="center"/>
          </w:tcPr>
          <w:p w14:paraId="3DC52ADC" w14:textId="77777777" w:rsidR="002E1FD6" w:rsidRPr="00E54F33" w:rsidRDefault="002E1FD6" w:rsidP="003A4183">
            <w:pPr>
              <w:rPr>
                <w:rFonts w:ascii="Arial" w:hAnsi="Arial" w:cs="Arial"/>
                <w:b/>
                <w:bCs/>
              </w:rPr>
            </w:pPr>
            <w:proofErr w:type="spellStart"/>
            <w:r>
              <w:rPr>
                <w:rFonts w:ascii="Arial" w:hAnsi="Arial" w:cs="Arial"/>
                <w:b/>
                <w:bCs/>
                <w:color w:val="202020"/>
                <w:sz w:val="20"/>
                <w:szCs w:val="20"/>
              </w:rPr>
              <w:t>Router</w:t>
            </w:r>
            <w:proofErr w:type="spellEnd"/>
          </w:p>
        </w:tc>
        <w:tc>
          <w:tcPr>
            <w:tcW w:w="1400" w:type="dxa"/>
            <w:tcMar>
              <w:top w:w="80" w:type="dxa"/>
              <w:left w:w="100" w:type="dxa"/>
              <w:bottom w:w="80" w:type="dxa"/>
              <w:right w:w="100" w:type="dxa"/>
            </w:tcMar>
            <w:vAlign w:val="center"/>
          </w:tcPr>
          <w:p w14:paraId="500A181B" w14:textId="77777777" w:rsidR="002E1FD6" w:rsidRPr="00E54F33" w:rsidRDefault="002E1FD6" w:rsidP="003A4183">
            <w:pPr>
              <w:jc w:val="center"/>
              <w:rPr>
                <w:rFonts w:ascii="Arial" w:hAnsi="Arial" w:cs="Arial"/>
              </w:rPr>
            </w:pPr>
            <w:r>
              <w:rPr>
                <w:rFonts w:ascii="Arial" w:hAnsi="Arial" w:cs="Arial"/>
                <w:color w:val="202020"/>
                <w:sz w:val="20"/>
                <w:szCs w:val="20"/>
              </w:rPr>
              <w:t>6</w:t>
            </w:r>
          </w:p>
        </w:tc>
        <w:tc>
          <w:tcPr>
            <w:tcW w:w="1400" w:type="dxa"/>
            <w:tcMar>
              <w:top w:w="80" w:type="dxa"/>
              <w:left w:w="100" w:type="dxa"/>
              <w:bottom w:w="80" w:type="dxa"/>
              <w:right w:w="100" w:type="dxa"/>
            </w:tcMar>
            <w:vAlign w:val="center"/>
          </w:tcPr>
          <w:p w14:paraId="2E4BAA03" w14:textId="77777777" w:rsidR="002E1FD6" w:rsidRPr="00E54F33" w:rsidRDefault="002E1FD6" w:rsidP="003A4183">
            <w:pPr>
              <w:jc w:val="center"/>
              <w:rPr>
                <w:rFonts w:ascii="Arial" w:hAnsi="Arial" w:cs="Arial"/>
              </w:rPr>
            </w:pPr>
            <w:r>
              <w:rPr>
                <w:rFonts w:ascii="Arial" w:hAnsi="Arial" w:cs="Arial"/>
                <w:color w:val="202020"/>
                <w:sz w:val="20"/>
                <w:szCs w:val="20"/>
              </w:rPr>
              <w:t>2,0%</w:t>
            </w:r>
          </w:p>
        </w:tc>
      </w:tr>
      <w:tr w:rsidR="002E1FD6" w:rsidRPr="00E54F33" w14:paraId="37E2CF1E" w14:textId="77777777" w:rsidTr="003A4183">
        <w:trPr>
          <w:jc w:val="center"/>
        </w:trPr>
        <w:tc>
          <w:tcPr>
            <w:tcW w:w="2600" w:type="dxa"/>
            <w:shd w:val="clear" w:color="auto" w:fill="EAF0F8"/>
            <w:tcMar>
              <w:top w:w="80" w:type="dxa"/>
              <w:left w:w="100" w:type="dxa"/>
              <w:bottom w:w="80" w:type="dxa"/>
              <w:right w:w="100" w:type="dxa"/>
            </w:tcMar>
            <w:vAlign w:val="center"/>
          </w:tcPr>
          <w:p w14:paraId="72D3222B" w14:textId="77777777" w:rsidR="002E1FD6" w:rsidRPr="00E54F33" w:rsidRDefault="002E1FD6" w:rsidP="003A4183">
            <w:pPr>
              <w:rPr>
                <w:rFonts w:ascii="Arial" w:hAnsi="Arial" w:cs="Arial"/>
                <w:b/>
                <w:bCs/>
              </w:rPr>
            </w:pPr>
            <w:r>
              <w:rPr>
                <w:rFonts w:ascii="Arial" w:hAnsi="Arial" w:cs="Arial"/>
                <w:b/>
                <w:bCs/>
                <w:color w:val="202020"/>
                <w:sz w:val="20"/>
                <w:szCs w:val="20"/>
              </w:rPr>
              <w:t>UPS / UPS general</w:t>
            </w:r>
          </w:p>
        </w:tc>
        <w:tc>
          <w:tcPr>
            <w:tcW w:w="1400" w:type="dxa"/>
            <w:shd w:val="clear" w:color="auto" w:fill="EAF0F8"/>
            <w:tcMar>
              <w:top w:w="80" w:type="dxa"/>
              <w:left w:w="100" w:type="dxa"/>
              <w:bottom w:w="80" w:type="dxa"/>
              <w:right w:w="100" w:type="dxa"/>
            </w:tcMar>
            <w:vAlign w:val="center"/>
          </w:tcPr>
          <w:p w14:paraId="28D2B14D" w14:textId="77777777" w:rsidR="002E1FD6" w:rsidRPr="00E54F33" w:rsidRDefault="002E1FD6" w:rsidP="003A4183">
            <w:pPr>
              <w:jc w:val="center"/>
              <w:rPr>
                <w:rFonts w:ascii="Arial" w:hAnsi="Arial" w:cs="Arial"/>
              </w:rPr>
            </w:pPr>
            <w:r>
              <w:rPr>
                <w:rFonts w:ascii="Arial" w:hAnsi="Arial" w:cs="Arial"/>
                <w:color w:val="202020"/>
                <w:sz w:val="20"/>
                <w:szCs w:val="20"/>
              </w:rPr>
              <w:t>7</w:t>
            </w:r>
          </w:p>
        </w:tc>
        <w:tc>
          <w:tcPr>
            <w:tcW w:w="1400" w:type="dxa"/>
            <w:shd w:val="clear" w:color="auto" w:fill="EAF0F8"/>
            <w:tcMar>
              <w:top w:w="80" w:type="dxa"/>
              <w:left w:w="100" w:type="dxa"/>
              <w:bottom w:w="80" w:type="dxa"/>
              <w:right w:w="100" w:type="dxa"/>
            </w:tcMar>
            <w:vAlign w:val="center"/>
          </w:tcPr>
          <w:p w14:paraId="35E89D2E" w14:textId="77777777" w:rsidR="002E1FD6" w:rsidRPr="00E54F33" w:rsidRDefault="002E1FD6" w:rsidP="003A4183">
            <w:pPr>
              <w:jc w:val="center"/>
              <w:rPr>
                <w:rFonts w:ascii="Arial" w:hAnsi="Arial" w:cs="Arial"/>
              </w:rPr>
            </w:pPr>
            <w:r>
              <w:rPr>
                <w:rFonts w:ascii="Arial" w:hAnsi="Arial" w:cs="Arial"/>
                <w:color w:val="202020"/>
                <w:sz w:val="20"/>
                <w:szCs w:val="20"/>
              </w:rPr>
              <w:t>2,3%</w:t>
            </w:r>
          </w:p>
        </w:tc>
      </w:tr>
      <w:tr w:rsidR="002E1FD6" w:rsidRPr="00E54F33" w14:paraId="0C57EC15" w14:textId="77777777" w:rsidTr="003A4183">
        <w:trPr>
          <w:jc w:val="center"/>
        </w:trPr>
        <w:tc>
          <w:tcPr>
            <w:tcW w:w="2600" w:type="dxa"/>
            <w:tcMar>
              <w:top w:w="80" w:type="dxa"/>
              <w:left w:w="100" w:type="dxa"/>
              <w:bottom w:w="80" w:type="dxa"/>
              <w:right w:w="100" w:type="dxa"/>
            </w:tcMar>
            <w:vAlign w:val="center"/>
          </w:tcPr>
          <w:p w14:paraId="133090D6" w14:textId="77777777" w:rsidR="002E1FD6" w:rsidRPr="00E54F33" w:rsidRDefault="002E1FD6" w:rsidP="003A4183">
            <w:pPr>
              <w:rPr>
                <w:rFonts w:ascii="Arial" w:hAnsi="Arial" w:cs="Arial"/>
                <w:b/>
                <w:bCs/>
              </w:rPr>
            </w:pPr>
            <w:r>
              <w:rPr>
                <w:rFonts w:ascii="Arial" w:hAnsi="Arial" w:cs="Arial"/>
                <w:b/>
                <w:bCs/>
                <w:color w:val="202020"/>
                <w:sz w:val="20"/>
                <w:szCs w:val="20"/>
              </w:rPr>
              <w:t>Rack</w:t>
            </w:r>
          </w:p>
        </w:tc>
        <w:tc>
          <w:tcPr>
            <w:tcW w:w="1400" w:type="dxa"/>
            <w:tcMar>
              <w:top w:w="80" w:type="dxa"/>
              <w:left w:w="100" w:type="dxa"/>
              <w:bottom w:w="80" w:type="dxa"/>
              <w:right w:w="100" w:type="dxa"/>
            </w:tcMar>
            <w:vAlign w:val="center"/>
          </w:tcPr>
          <w:p w14:paraId="49311A8A" w14:textId="77777777" w:rsidR="002E1FD6" w:rsidRPr="00E54F33" w:rsidRDefault="002E1FD6" w:rsidP="003A4183">
            <w:pPr>
              <w:jc w:val="center"/>
              <w:rPr>
                <w:rFonts w:ascii="Arial" w:hAnsi="Arial" w:cs="Arial"/>
              </w:rPr>
            </w:pPr>
            <w:r>
              <w:rPr>
                <w:rFonts w:ascii="Arial" w:hAnsi="Arial" w:cs="Arial"/>
                <w:color w:val="202020"/>
                <w:sz w:val="20"/>
                <w:szCs w:val="20"/>
              </w:rPr>
              <w:t>6</w:t>
            </w:r>
          </w:p>
        </w:tc>
        <w:tc>
          <w:tcPr>
            <w:tcW w:w="1400" w:type="dxa"/>
            <w:tcMar>
              <w:top w:w="80" w:type="dxa"/>
              <w:left w:w="100" w:type="dxa"/>
              <w:bottom w:w="80" w:type="dxa"/>
              <w:right w:w="100" w:type="dxa"/>
            </w:tcMar>
            <w:vAlign w:val="center"/>
          </w:tcPr>
          <w:p w14:paraId="7BD3EDD5" w14:textId="77777777" w:rsidR="002E1FD6" w:rsidRPr="00E54F33" w:rsidRDefault="002E1FD6" w:rsidP="003A4183">
            <w:pPr>
              <w:jc w:val="center"/>
              <w:rPr>
                <w:rFonts w:ascii="Arial" w:hAnsi="Arial" w:cs="Arial"/>
              </w:rPr>
            </w:pPr>
            <w:r>
              <w:rPr>
                <w:rFonts w:ascii="Arial" w:hAnsi="Arial" w:cs="Arial"/>
                <w:color w:val="202020"/>
                <w:sz w:val="20"/>
                <w:szCs w:val="20"/>
              </w:rPr>
              <w:t>2,0%</w:t>
            </w:r>
          </w:p>
        </w:tc>
      </w:tr>
      <w:tr w:rsidR="002E1FD6" w:rsidRPr="00E54F33" w14:paraId="7BB4E5C1" w14:textId="77777777" w:rsidTr="003A4183">
        <w:trPr>
          <w:jc w:val="center"/>
        </w:trPr>
        <w:tc>
          <w:tcPr>
            <w:tcW w:w="2600" w:type="dxa"/>
            <w:shd w:val="clear" w:color="auto" w:fill="EAF0F8"/>
            <w:tcMar>
              <w:top w:w="80" w:type="dxa"/>
              <w:left w:w="100" w:type="dxa"/>
              <w:bottom w:w="80" w:type="dxa"/>
              <w:right w:w="100" w:type="dxa"/>
            </w:tcMar>
            <w:vAlign w:val="center"/>
          </w:tcPr>
          <w:p w14:paraId="2408A418" w14:textId="77777777" w:rsidR="002E1FD6" w:rsidRPr="00E54F33" w:rsidRDefault="002E1FD6" w:rsidP="003A4183">
            <w:pPr>
              <w:rPr>
                <w:rFonts w:ascii="Arial" w:hAnsi="Arial" w:cs="Arial"/>
                <w:b/>
                <w:bCs/>
              </w:rPr>
            </w:pPr>
            <w:r>
              <w:rPr>
                <w:rFonts w:ascii="Arial" w:hAnsi="Arial" w:cs="Arial"/>
                <w:b/>
                <w:bCs/>
                <w:color w:val="202020"/>
                <w:sz w:val="20"/>
                <w:szCs w:val="20"/>
              </w:rPr>
              <w:t>Firewall (Fortinet + Palo Alto)</w:t>
            </w:r>
          </w:p>
        </w:tc>
        <w:tc>
          <w:tcPr>
            <w:tcW w:w="1400" w:type="dxa"/>
            <w:shd w:val="clear" w:color="auto" w:fill="EAF0F8"/>
            <w:tcMar>
              <w:top w:w="80" w:type="dxa"/>
              <w:left w:w="100" w:type="dxa"/>
              <w:bottom w:w="80" w:type="dxa"/>
              <w:right w:w="100" w:type="dxa"/>
            </w:tcMar>
            <w:vAlign w:val="center"/>
          </w:tcPr>
          <w:p w14:paraId="7A8BE49D" w14:textId="77777777" w:rsidR="002E1FD6" w:rsidRPr="00E54F33" w:rsidRDefault="002E1FD6" w:rsidP="003A4183">
            <w:pPr>
              <w:jc w:val="center"/>
              <w:rPr>
                <w:rFonts w:ascii="Arial" w:hAnsi="Arial" w:cs="Arial"/>
              </w:rPr>
            </w:pPr>
            <w:r>
              <w:rPr>
                <w:rFonts w:ascii="Arial" w:hAnsi="Arial" w:cs="Arial"/>
                <w:color w:val="202020"/>
                <w:sz w:val="20"/>
                <w:szCs w:val="20"/>
              </w:rPr>
              <w:t>6</w:t>
            </w:r>
          </w:p>
        </w:tc>
        <w:tc>
          <w:tcPr>
            <w:tcW w:w="1400" w:type="dxa"/>
            <w:shd w:val="clear" w:color="auto" w:fill="EAF0F8"/>
            <w:tcMar>
              <w:top w:w="80" w:type="dxa"/>
              <w:left w:w="100" w:type="dxa"/>
              <w:bottom w:w="80" w:type="dxa"/>
              <w:right w:w="100" w:type="dxa"/>
            </w:tcMar>
            <w:vAlign w:val="center"/>
          </w:tcPr>
          <w:p w14:paraId="63CE4834" w14:textId="77777777" w:rsidR="002E1FD6" w:rsidRPr="00E54F33" w:rsidRDefault="002E1FD6" w:rsidP="003A4183">
            <w:pPr>
              <w:jc w:val="center"/>
              <w:rPr>
                <w:rFonts w:ascii="Arial" w:hAnsi="Arial" w:cs="Arial"/>
              </w:rPr>
            </w:pPr>
            <w:r>
              <w:rPr>
                <w:rFonts w:ascii="Arial" w:hAnsi="Arial" w:cs="Arial"/>
                <w:color w:val="202020"/>
                <w:sz w:val="20"/>
                <w:szCs w:val="20"/>
              </w:rPr>
              <w:t>2,0%</w:t>
            </w:r>
          </w:p>
        </w:tc>
      </w:tr>
      <w:tr w:rsidR="002E1FD6" w:rsidRPr="00E54F33" w14:paraId="0007AD9D" w14:textId="77777777" w:rsidTr="003A4183">
        <w:trPr>
          <w:jc w:val="center"/>
        </w:trPr>
        <w:tc>
          <w:tcPr>
            <w:tcW w:w="2600" w:type="dxa"/>
            <w:tcMar>
              <w:top w:w="80" w:type="dxa"/>
              <w:left w:w="100" w:type="dxa"/>
              <w:bottom w:w="80" w:type="dxa"/>
              <w:right w:w="100" w:type="dxa"/>
            </w:tcMar>
            <w:vAlign w:val="center"/>
          </w:tcPr>
          <w:p w14:paraId="65DF0869" w14:textId="77777777" w:rsidR="002E1FD6" w:rsidRPr="00E54F33" w:rsidRDefault="002E1FD6" w:rsidP="003A4183">
            <w:pPr>
              <w:rPr>
                <w:rFonts w:ascii="Arial" w:hAnsi="Arial" w:cs="Arial"/>
                <w:b/>
                <w:bCs/>
              </w:rPr>
            </w:pPr>
            <w:r>
              <w:rPr>
                <w:rFonts w:ascii="Arial" w:hAnsi="Arial" w:cs="Arial"/>
                <w:b/>
                <w:bCs/>
                <w:color w:val="202020"/>
                <w:sz w:val="20"/>
                <w:szCs w:val="20"/>
              </w:rPr>
              <w:t>Sin tipo registrado</w:t>
            </w:r>
          </w:p>
        </w:tc>
        <w:tc>
          <w:tcPr>
            <w:tcW w:w="1400" w:type="dxa"/>
            <w:tcMar>
              <w:top w:w="80" w:type="dxa"/>
              <w:left w:w="100" w:type="dxa"/>
              <w:bottom w:w="80" w:type="dxa"/>
              <w:right w:w="100" w:type="dxa"/>
            </w:tcMar>
            <w:vAlign w:val="center"/>
          </w:tcPr>
          <w:p w14:paraId="3852822E" w14:textId="77777777" w:rsidR="002E1FD6" w:rsidRPr="00E54F33" w:rsidRDefault="002E1FD6" w:rsidP="003A4183">
            <w:pPr>
              <w:jc w:val="center"/>
              <w:rPr>
                <w:rFonts w:ascii="Arial" w:hAnsi="Arial" w:cs="Arial"/>
              </w:rPr>
            </w:pPr>
            <w:r>
              <w:rPr>
                <w:rFonts w:ascii="Arial" w:hAnsi="Arial" w:cs="Arial"/>
                <w:color w:val="202020"/>
                <w:sz w:val="20"/>
                <w:szCs w:val="20"/>
              </w:rPr>
              <w:t>6</w:t>
            </w:r>
          </w:p>
        </w:tc>
        <w:tc>
          <w:tcPr>
            <w:tcW w:w="1400" w:type="dxa"/>
            <w:tcMar>
              <w:top w:w="80" w:type="dxa"/>
              <w:left w:w="100" w:type="dxa"/>
              <w:bottom w:w="80" w:type="dxa"/>
              <w:right w:w="100" w:type="dxa"/>
            </w:tcMar>
            <w:vAlign w:val="center"/>
          </w:tcPr>
          <w:p w14:paraId="5058F6FA" w14:textId="77777777" w:rsidR="002E1FD6" w:rsidRPr="00E54F33" w:rsidRDefault="002E1FD6" w:rsidP="003A4183">
            <w:pPr>
              <w:jc w:val="center"/>
              <w:rPr>
                <w:rFonts w:ascii="Arial" w:hAnsi="Arial" w:cs="Arial"/>
              </w:rPr>
            </w:pPr>
            <w:r>
              <w:rPr>
                <w:rFonts w:ascii="Arial" w:hAnsi="Arial" w:cs="Arial"/>
                <w:color w:val="202020"/>
                <w:sz w:val="20"/>
                <w:szCs w:val="20"/>
              </w:rPr>
              <w:t>2,0%</w:t>
            </w:r>
          </w:p>
        </w:tc>
      </w:tr>
      <w:tr w:rsidR="002E1FD6" w:rsidRPr="00E54F33" w14:paraId="64BF46F7" w14:textId="77777777" w:rsidTr="003A4183">
        <w:trPr>
          <w:jc w:val="center"/>
        </w:trPr>
        <w:tc>
          <w:tcPr>
            <w:tcW w:w="2600" w:type="dxa"/>
            <w:shd w:val="clear" w:color="auto" w:fill="1F3864"/>
            <w:tcMar>
              <w:top w:w="80" w:type="dxa"/>
              <w:left w:w="100" w:type="dxa"/>
              <w:bottom w:w="80" w:type="dxa"/>
              <w:right w:w="100" w:type="dxa"/>
            </w:tcMar>
            <w:vAlign w:val="center"/>
          </w:tcPr>
          <w:p w14:paraId="419C1CE1" w14:textId="77777777" w:rsidR="002E1FD6" w:rsidRPr="00E54F33" w:rsidRDefault="002E1FD6" w:rsidP="003A4183">
            <w:pPr>
              <w:rPr>
                <w:rFonts w:ascii="Arial" w:hAnsi="Arial" w:cs="Arial"/>
                <w:b/>
                <w:bCs/>
              </w:rPr>
            </w:pPr>
            <w:r>
              <w:rPr>
                <w:rFonts w:ascii="Arial" w:hAnsi="Arial" w:cs="Arial"/>
                <w:b/>
                <w:bCs/>
                <w:color w:val="FFFFFF"/>
                <w:sz w:val="20"/>
                <w:szCs w:val="20"/>
              </w:rPr>
              <w:t>Total</w:t>
            </w:r>
          </w:p>
        </w:tc>
        <w:tc>
          <w:tcPr>
            <w:tcW w:w="1400" w:type="dxa"/>
            <w:shd w:val="clear" w:color="auto" w:fill="1F3864"/>
            <w:tcMar>
              <w:top w:w="80" w:type="dxa"/>
              <w:left w:w="100" w:type="dxa"/>
              <w:bottom w:w="80" w:type="dxa"/>
              <w:right w:w="100" w:type="dxa"/>
            </w:tcMar>
            <w:vAlign w:val="center"/>
          </w:tcPr>
          <w:p w14:paraId="1D0CAA1A" w14:textId="77777777" w:rsidR="002E1FD6" w:rsidRPr="00E54F33" w:rsidRDefault="002E1FD6" w:rsidP="003A4183">
            <w:pPr>
              <w:jc w:val="center"/>
              <w:rPr>
                <w:rFonts w:ascii="Arial" w:hAnsi="Arial" w:cs="Arial"/>
              </w:rPr>
            </w:pPr>
            <w:r>
              <w:rPr>
                <w:rFonts w:ascii="Arial" w:hAnsi="Arial" w:cs="Arial"/>
                <w:b/>
                <w:bCs/>
                <w:color w:val="FFFFFF"/>
                <w:sz w:val="20"/>
                <w:szCs w:val="20"/>
              </w:rPr>
              <w:t>304</w:t>
            </w:r>
          </w:p>
        </w:tc>
        <w:tc>
          <w:tcPr>
            <w:tcW w:w="1400" w:type="dxa"/>
            <w:shd w:val="clear" w:color="auto" w:fill="1F3864"/>
            <w:tcMar>
              <w:top w:w="80" w:type="dxa"/>
              <w:left w:w="100" w:type="dxa"/>
              <w:bottom w:w="80" w:type="dxa"/>
              <w:right w:w="100" w:type="dxa"/>
            </w:tcMar>
            <w:vAlign w:val="center"/>
          </w:tcPr>
          <w:p w14:paraId="09E657B4" w14:textId="77777777" w:rsidR="002E1FD6" w:rsidRPr="00E54F33" w:rsidRDefault="002E1FD6" w:rsidP="003A4183">
            <w:pPr>
              <w:jc w:val="center"/>
              <w:rPr>
                <w:rFonts w:ascii="Arial" w:hAnsi="Arial" w:cs="Arial"/>
              </w:rPr>
            </w:pPr>
            <w:r>
              <w:rPr>
                <w:rFonts w:ascii="Arial" w:hAnsi="Arial" w:cs="Arial"/>
                <w:b/>
                <w:bCs/>
                <w:color w:val="FFFFFF"/>
                <w:sz w:val="20"/>
                <w:szCs w:val="20"/>
              </w:rPr>
              <w:t>100%</w:t>
            </w:r>
          </w:p>
        </w:tc>
      </w:tr>
    </w:tbl>
    <w:p w14:paraId="191262E0" w14:textId="77777777" w:rsidR="002E1FD6" w:rsidRPr="00E54F33" w:rsidRDefault="002E1FD6" w:rsidP="002E1FD6">
      <w:pPr>
        <w:jc w:val="both"/>
        <w:rPr>
          <w:rFonts w:ascii="Arial" w:hAnsi="Arial" w:cs="Arial"/>
        </w:rPr>
      </w:pPr>
    </w:p>
    <w:p w14:paraId="7167E97D" w14:textId="77777777" w:rsidR="002E1FD6" w:rsidRPr="00E54F33" w:rsidRDefault="002E1FD6" w:rsidP="002E1FD6">
      <w:pPr>
        <w:keepNext/>
        <w:keepLines/>
        <w:jc w:val="both"/>
        <w:rPr>
          <w:rFonts w:ascii="Arial" w:hAnsi="Arial" w:cs="Arial"/>
          <w:b/>
          <w:bCs/>
        </w:rPr>
      </w:pPr>
      <w:r>
        <w:rPr>
          <w:rFonts w:ascii="Arial" w:hAnsi="Arial" w:cs="Arial"/>
          <w:b/>
          <w:bCs/>
        </w:rPr>
        <w:t>Hallazgos principales.</w:t>
      </w:r>
    </w:p>
    <w:p w14:paraId="3A755081" w14:textId="77777777" w:rsidR="002E1FD6" w:rsidRPr="00DF296C" w:rsidRDefault="002E1FD6" w:rsidP="002E1FD6">
      <w:pPr>
        <w:keepNext/>
        <w:keepLines/>
        <w:spacing w:before="200" w:after="120" w:line="240" w:lineRule="auto"/>
        <w:rPr>
          <w:rFonts w:ascii="Arial" w:eastAsia="Times New Roman" w:hAnsi="Arial" w:cs="Arial"/>
          <w:kern w:val="0"/>
          <w:sz w:val="20"/>
          <w:szCs w:val="20"/>
          <w:lang w:eastAsia="es-CO"/>
          <w14:ligatures w14:val="none"/>
        </w:rPr>
      </w:pPr>
      <w:r>
        <w:rPr>
          <w:rFonts w:ascii="Arial" w:eastAsia="Times New Roman" w:hAnsi="Arial" w:cs="Arial"/>
          <w:b/>
          <w:bCs/>
          <w:color w:val="2E5395"/>
          <w:kern w:val="0"/>
          <w:sz w:val="23"/>
          <w:szCs w:val="23"/>
          <w:lang w:eastAsia="es-CO"/>
          <w14:ligatures w14:val="none"/>
        </w:rPr>
        <w:t>Virtualización como eje central de la operación</w:t>
      </w:r>
    </w:p>
    <w:p w14:paraId="419E3483" w14:textId="77777777" w:rsidR="002E1FD6" w:rsidRPr="00E54F33" w:rsidRDefault="002E1FD6" w:rsidP="002E1FD6">
      <w:pPr>
        <w:jc w:val="both"/>
        <w:rPr>
          <w:rFonts w:ascii="Arial" w:eastAsia="Times New Roman" w:hAnsi="Arial" w:cs="Arial"/>
          <w:color w:val="202020"/>
          <w:kern w:val="0"/>
          <w:lang w:eastAsia="es-CO"/>
          <w14:ligatures w14:val="none"/>
        </w:rPr>
      </w:pPr>
      <w:r>
        <w:rPr>
          <w:rFonts w:ascii="Arial" w:eastAsia="Times New Roman" w:hAnsi="Arial" w:cs="Arial"/>
          <w:color w:val="202020"/>
          <w:kern w:val="0"/>
          <w:lang w:eastAsia="es-CO"/>
          <w14:ligatures w14:val="none"/>
        </w:rPr>
        <w:t xml:space="preserve">El 71,7% del catálogo son cargas virtuales, lo que indica que la UPME migró la mayor parte de su cómputo hacia su clúster de virtualización. Los 124 servidores virtuales comparten en su gran mayoría una misma plantilla base (Windows Server 2019 y Ubuntu 24, 16 GB de RAM, 250 GB de disco y 2 </w:t>
      </w:r>
      <w:proofErr w:type="spellStart"/>
      <w:r>
        <w:rPr>
          <w:rFonts w:ascii="Arial" w:eastAsia="Times New Roman" w:hAnsi="Arial" w:cs="Arial"/>
          <w:color w:val="202020"/>
          <w:kern w:val="0"/>
          <w:lang w:eastAsia="es-CO"/>
          <w14:ligatures w14:val="none"/>
        </w:rPr>
        <w:t>vCPU</w:t>
      </w:r>
      <w:proofErr w:type="spellEnd"/>
      <w:r>
        <w:rPr>
          <w:rFonts w:ascii="Arial" w:eastAsia="Times New Roman" w:hAnsi="Arial" w:cs="Arial"/>
          <w:color w:val="202020"/>
          <w:kern w:val="0"/>
          <w:lang w:eastAsia="es-CO"/>
          <w14:ligatures w14:val="none"/>
        </w:rPr>
        <w:t xml:space="preserve">), y sus descripciones permiten identificar cargas de trabajo críticas: controlador de dominio y Global </w:t>
      </w:r>
      <w:proofErr w:type="spellStart"/>
      <w:r>
        <w:rPr>
          <w:rFonts w:ascii="Arial" w:eastAsia="Times New Roman" w:hAnsi="Arial" w:cs="Arial"/>
          <w:color w:val="202020"/>
          <w:kern w:val="0"/>
          <w:lang w:eastAsia="es-CO"/>
          <w14:ligatures w14:val="none"/>
        </w:rPr>
        <w:t>Catalog</w:t>
      </w:r>
      <w:proofErr w:type="spellEnd"/>
      <w:r>
        <w:rPr>
          <w:rFonts w:ascii="Arial" w:eastAsia="Times New Roman" w:hAnsi="Arial" w:cs="Arial"/>
          <w:color w:val="202020"/>
          <w:kern w:val="0"/>
          <w:lang w:eastAsia="es-CO"/>
          <w14:ligatures w14:val="none"/>
        </w:rPr>
        <w:t xml:space="preserve"> de Active </w:t>
      </w:r>
      <w:proofErr w:type="spellStart"/>
      <w:r>
        <w:rPr>
          <w:rFonts w:ascii="Arial" w:eastAsia="Times New Roman" w:hAnsi="Arial" w:cs="Arial"/>
          <w:color w:val="202020"/>
          <w:kern w:val="0"/>
          <w:lang w:eastAsia="es-CO"/>
          <w14:ligatures w14:val="none"/>
        </w:rPr>
        <w:t>Directory</w:t>
      </w:r>
      <w:proofErr w:type="spellEnd"/>
      <w:r>
        <w:rPr>
          <w:rFonts w:ascii="Arial" w:eastAsia="Times New Roman" w:hAnsi="Arial" w:cs="Arial"/>
          <w:color w:val="202020"/>
          <w:kern w:val="0"/>
          <w:lang w:eastAsia="es-CO"/>
          <w14:ligatures w14:val="none"/>
        </w:rPr>
        <w:t xml:space="preserve">, granja SharePoint de </w:t>
      </w:r>
      <w:r>
        <w:rPr>
          <w:rFonts w:ascii="Arial" w:eastAsia="Times New Roman" w:hAnsi="Arial" w:cs="Arial"/>
          <w:color w:val="202020"/>
          <w:kern w:val="0"/>
          <w:lang w:eastAsia="es-CO"/>
          <w14:ligatures w14:val="none"/>
        </w:rPr>
        <w:lastRenderedPageBreak/>
        <w:t xml:space="preserve">producción, gestión documental, biblioteca, </w:t>
      </w:r>
      <w:proofErr w:type="spellStart"/>
      <w:r>
        <w:rPr>
          <w:rFonts w:ascii="Arial" w:eastAsia="Times New Roman" w:hAnsi="Arial" w:cs="Arial"/>
          <w:color w:val="202020"/>
          <w:kern w:val="0"/>
          <w:lang w:eastAsia="es-CO"/>
          <w14:ligatures w14:val="none"/>
        </w:rPr>
        <w:t>Tableau</w:t>
      </w:r>
      <w:proofErr w:type="spellEnd"/>
      <w:r>
        <w:rPr>
          <w:rFonts w:ascii="Arial" w:eastAsia="Times New Roman" w:hAnsi="Arial" w:cs="Arial"/>
          <w:color w:val="202020"/>
          <w:kern w:val="0"/>
          <w:lang w:eastAsia="es-CO"/>
          <w14:ligatures w14:val="none"/>
        </w:rPr>
        <w:t xml:space="preserve"> Server, WSUS, y servicios web geográficos. Varias de estas cargas señalan explícitamente 'Administrado por Proveedor Externo', lo que confirma dependencia de terceros para sistemas de misión crítica.</w:t>
      </w:r>
    </w:p>
    <w:p w14:paraId="6D5162A6" w14:textId="77777777" w:rsidR="002E1FD6" w:rsidRPr="00E54F33" w:rsidRDefault="002E1FD6" w:rsidP="002E1FD6">
      <w:pPr>
        <w:jc w:val="both"/>
        <w:rPr>
          <w:rFonts w:ascii="Arial" w:eastAsia="Times New Roman" w:hAnsi="Arial" w:cs="Arial"/>
          <w:color w:val="202020"/>
          <w:kern w:val="0"/>
          <w:lang w:eastAsia="es-CO"/>
          <w14:ligatures w14:val="none"/>
        </w:rPr>
      </w:pPr>
    </w:p>
    <w:p w14:paraId="66426B12"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Migración física-a-virtual en curso</w:t>
      </w:r>
    </w:p>
    <w:p w14:paraId="1D12799E" w14:textId="77777777" w:rsidR="002E1FD6" w:rsidRPr="00E54F33" w:rsidRDefault="002E1FD6" w:rsidP="002E1FD6">
      <w:pPr>
        <w:spacing w:after="200" w:line="300" w:lineRule="auto"/>
        <w:jc w:val="both"/>
        <w:rPr>
          <w:rFonts w:ascii="Arial" w:hAnsi="Arial" w:cs="Arial"/>
        </w:rPr>
      </w:pPr>
      <w:r>
        <w:rPr>
          <w:rFonts w:ascii="Arial" w:hAnsi="Arial" w:cs="Arial"/>
          <w:color w:val="202020"/>
        </w:rPr>
        <w:t xml:space="preserve">De los 19 servidores físicos registrados, 13 están inactivos, con descripciones que documentan el motivo: 'se entregó al almacén ya se virtualizó', 'equipo para baja de inventario', o simplemente 'OFF'. Esto evidencia un proceso activo y consciente de consolidación hacia la nube privada interna, que ya alcanzó una etapa madura. Lo mismo ocurre en red: de los 19 switches, 9 están inactivos, coherente con un recambio de la capa de acceso (los Cisco </w:t>
      </w:r>
      <w:proofErr w:type="spellStart"/>
      <w:r>
        <w:rPr>
          <w:rFonts w:ascii="Arial" w:hAnsi="Arial" w:cs="Arial"/>
          <w:color w:val="202020"/>
        </w:rPr>
        <w:t>Catalyst</w:t>
      </w:r>
      <w:proofErr w:type="spellEnd"/>
      <w:r>
        <w:rPr>
          <w:rFonts w:ascii="Arial" w:hAnsi="Arial" w:cs="Arial"/>
          <w:color w:val="202020"/>
        </w:rPr>
        <w:t xml:space="preserve"> 9300L activos reemplazan equipos de generaciones anteriores).</w:t>
      </w:r>
    </w:p>
    <w:p w14:paraId="68D06156"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Renovación de seguridad perimetral</w:t>
      </w:r>
    </w:p>
    <w:p w14:paraId="1D331043" w14:textId="77777777" w:rsidR="002E1FD6" w:rsidRPr="00E54F33" w:rsidRDefault="002E1FD6" w:rsidP="002E1FD6">
      <w:pPr>
        <w:spacing w:after="200" w:line="300" w:lineRule="auto"/>
        <w:jc w:val="both"/>
        <w:rPr>
          <w:rFonts w:ascii="Arial" w:hAnsi="Arial" w:cs="Arial"/>
        </w:rPr>
      </w:pPr>
      <w:r>
        <w:rPr>
          <w:rFonts w:ascii="Arial" w:hAnsi="Arial" w:cs="Arial"/>
          <w:color w:val="202020"/>
        </w:rPr>
        <w:t xml:space="preserve">El catálogo muestra dos firewalls </w:t>
      </w:r>
      <w:proofErr w:type="spellStart"/>
      <w:r>
        <w:rPr>
          <w:rFonts w:ascii="Arial" w:hAnsi="Arial" w:cs="Arial"/>
          <w:color w:val="202020"/>
        </w:rPr>
        <w:t>Fortiweb</w:t>
      </w:r>
      <w:proofErr w:type="spellEnd"/>
      <w:r>
        <w:rPr>
          <w:rFonts w:ascii="Arial" w:hAnsi="Arial" w:cs="Arial"/>
          <w:color w:val="202020"/>
        </w:rPr>
        <w:t xml:space="preserve"> 600D (uno de ellos ya inactivo, marcado como WAF de baja) y uno 600E activo, junto con dos firewalls Palo Alto PA-1410 recién incorporados y descritos como 'Nuevo Firewall </w:t>
      </w:r>
      <w:proofErr w:type="spellStart"/>
      <w:r>
        <w:rPr>
          <w:rFonts w:ascii="Arial" w:hAnsi="Arial" w:cs="Arial"/>
          <w:color w:val="202020"/>
        </w:rPr>
        <w:t>PaloAlto</w:t>
      </w:r>
      <w:proofErr w:type="spellEnd"/>
      <w:r>
        <w:rPr>
          <w:rFonts w:ascii="Arial" w:hAnsi="Arial" w:cs="Arial"/>
          <w:color w:val="202020"/>
        </w:rPr>
        <w:t>'. Esto indica que la UPME se encuentra en medio de un reemplazo tecnológico de su perímetro de seguridad, moviéndose de Fortinet hacia Palo Alto, probablemente en fase de convivencia entre ambas marcas.</w:t>
      </w:r>
    </w:p>
    <w:p w14:paraId="4B03A305"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Conectividad con redundancia de proveedor</w:t>
      </w:r>
    </w:p>
    <w:p w14:paraId="6591D7FF" w14:textId="77777777" w:rsidR="002E1FD6" w:rsidRPr="00E54F33" w:rsidRDefault="002E1FD6" w:rsidP="002E1FD6">
      <w:pPr>
        <w:spacing w:after="200" w:line="300" w:lineRule="auto"/>
        <w:jc w:val="both"/>
        <w:rPr>
          <w:rFonts w:ascii="Arial" w:hAnsi="Arial" w:cs="Arial"/>
        </w:rPr>
      </w:pPr>
      <w:r>
        <w:rPr>
          <w:rFonts w:ascii="Arial" w:hAnsi="Arial" w:cs="Arial"/>
          <w:color w:val="202020"/>
        </w:rPr>
        <w:t>La entidad mantiene dos proveedores de enlace WAN (ETB y TIGO), cada uno con su propio demarcador principal y de respaldo, lo que constituye una práctica sana de continuidad de conectividad a internet y de intercambio de datos.</w:t>
      </w:r>
    </w:p>
    <w:p w14:paraId="27184208"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Escritorios virtuales sobre Windows 10</w:t>
      </w:r>
    </w:p>
    <w:p w14:paraId="68A9F210" w14:textId="77777777" w:rsidR="002E1FD6" w:rsidRPr="00E54F33" w:rsidRDefault="002E1FD6" w:rsidP="002E1FD6">
      <w:pPr>
        <w:spacing w:after="200" w:line="300" w:lineRule="auto"/>
        <w:jc w:val="both"/>
        <w:rPr>
          <w:rFonts w:ascii="Arial" w:hAnsi="Arial" w:cs="Arial"/>
        </w:rPr>
      </w:pPr>
      <w:r>
        <w:rPr>
          <w:rFonts w:ascii="Arial" w:hAnsi="Arial" w:cs="Arial"/>
          <w:color w:val="202020"/>
        </w:rPr>
        <w:t xml:space="preserve">Los 94 escritorios virtuales (VDI) están construidos sobre una misma imagen: </w:t>
      </w:r>
      <w:proofErr w:type="spellStart"/>
      <w:r>
        <w:rPr>
          <w:rFonts w:ascii="Arial" w:hAnsi="Arial" w:cs="Arial"/>
          <w:color w:val="202020"/>
        </w:rPr>
        <w:t>vSphere</w:t>
      </w:r>
      <w:proofErr w:type="spellEnd"/>
      <w:r>
        <w:rPr>
          <w:rFonts w:ascii="Arial" w:hAnsi="Arial" w:cs="Arial"/>
          <w:color w:val="202020"/>
        </w:rPr>
        <w:t xml:space="preserve"> Client 8.0.3.00400 con sistema operativo Windows 10, 4 </w:t>
      </w:r>
      <w:proofErr w:type="spellStart"/>
      <w:r>
        <w:rPr>
          <w:rFonts w:ascii="Arial" w:hAnsi="Arial" w:cs="Arial"/>
          <w:color w:val="202020"/>
        </w:rPr>
        <w:t>vCPU</w:t>
      </w:r>
      <w:proofErr w:type="spellEnd"/>
      <w:r>
        <w:rPr>
          <w:rFonts w:ascii="Arial" w:hAnsi="Arial" w:cs="Arial"/>
          <w:color w:val="202020"/>
        </w:rPr>
        <w:t>, 100 GB de disco y 8 GB de RAM, todos etiquetados como 'Escritorios Virtuales - General'. Es una flota homogénea y fácil de administrar desde el punto de vista de imagen, pero construida sobre un sistema operativo de puesto de trabajo que ya no recibe soporte estándar del fabricante.</w:t>
      </w:r>
    </w:p>
    <w:p w14:paraId="5AB842C0"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Fleet de UPS y respaldo eléctrico fragmentada</w:t>
      </w:r>
    </w:p>
    <w:p w14:paraId="69E5B203" w14:textId="77777777" w:rsidR="002E1FD6" w:rsidRPr="00E54F33" w:rsidRDefault="002E1FD6" w:rsidP="002E1FD6">
      <w:pPr>
        <w:jc w:val="both"/>
        <w:rPr>
          <w:rFonts w:ascii="Arial" w:hAnsi="Arial" w:cs="Arial"/>
          <w:color w:val="202020"/>
        </w:rPr>
      </w:pPr>
      <w:r>
        <w:rPr>
          <w:rFonts w:ascii="Arial" w:hAnsi="Arial" w:cs="Arial"/>
          <w:color w:val="202020"/>
        </w:rPr>
        <w:t>El respaldo eléctrico del centro de datos combina cinco UPS APC/</w:t>
      </w:r>
      <w:proofErr w:type="spellStart"/>
      <w:r>
        <w:rPr>
          <w:rFonts w:ascii="Arial" w:hAnsi="Arial" w:cs="Arial"/>
          <w:color w:val="202020"/>
        </w:rPr>
        <w:t>Powerware</w:t>
      </w:r>
      <w:proofErr w:type="spellEnd"/>
      <w:r>
        <w:rPr>
          <w:rFonts w:ascii="Arial" w:hAnsi="Arial" w:cs="Arial"/>
          <w:color w:val="202020"/>
        </w:rPr>
        <w:t xml:space="preserve"> RT 5000 dedicadas a cada rack, un </w:t>
      </w:r>
      <w:proofErr w:type="spellStart"/>
      <w:r>
        <w:rPr>
          <w:rFonts w:ascii="Arial" w:hAnsi="Arial" w:cs="Arial"/>
          <w:color w:val="202020"/>
        </w:rPr>
        <w:t>Powerware</w:t>
      </w:r>
      <w:proofErr w:type="spellEnd"/>
      <w:r>
        <w:rPr>
          <w:rFonts w:ascii="Arial" w:hAnsi="Arial" w:cs="Arial"/>
          <w:color w:val="202020"/>
        </w:rPr>
        <w:t xml:space="preserve"> 9390 como respaldo general y un segundo UPS </w:t>
      </w:r>
      <w:r>
        <w:rPr>
          <w:rFonts w:ascii="Arial" w:hAnsi="Arial" w:cs="Arial"/>
          <w:color w:val="202020"/>
        </w:rPr>
        <w:lastRenderedPageBreak/>
        <w:t>general de referencia S3M50K, es decir, tres familias de equipos distintas conviviendo en la misma función crítica.</w:t>
      </w:r>
    </w:p>
    <w:p w14:paraId="2BEB1D5E" w14:textId="77777777" w:rsidR="002E1FD6" w:rsidRPr="00E54F33" w:rsidRDefault="002E1FD6" w:rsidP="002E1FD6">
      <w:pPr>
        <w:jc w:val="both"/>
        <w:rPr>
          <w:rFonts w:ascii="Arial" w:hAnsi="Arial" w:cs="Arial"/>
          <w:b/>
          <w:bCs/>
        </w:rPr>
      </w:pPr>
    </w:p>
    <w:p w14:paraId="75D277C9" w14:textId="77777777" w:rsidR="002E1FD6" w:rsidRPr="00E54F33" w:rsidRDefault="002E1FD6" w:rsidP="002E1FD6">
      <w:pPr>
        <w:jc w:val="both"/>
        <w:rPr>
          <w:rFonts w:ascii="Arial" w:hAnsi="Arial" w:cs="Arial"/>
          <w:b/>
          <w:bCs/>
        </w:rPr>
      </w:pPr>
    </w:p>
    <w:p w14:paraId="264A55A7" w14:textId="77777777" w:rsidR="002E1FD6" w:rsidRPr="00E54F33" w:rsidRDefault="002E1FD6" w:rsidP="002E1FD6">
      <w:pPr>
        <w:jc w:val="both"/>
        <w:rPr>
          <w:rFonts w:ascii="Arial" w:hAnsi="Arial" w:cs="Arial"/>
          <w:b/>
          <w:bCs/>
        </w:rPr>
      </w:pPr>
    </w:p>
    <w:p w14:paraId="0CC4B66C" w14:textId="77777777" w:rsidR="002E1FD6" w:rsidRPr="00E54F33" w:rsidRDefault="002E1FD6" w:rsidP="002E1FD6">
      <w:pPr>
        <w:keepNext/>
        <w:keepLines/>
        <w:jc w:val="both"/>
        <w:rPr>
          <w:rFonts w:ascii="Arial" w:hAnsi="Arial" w:cs="Arial"/>
          <w:b/>
          <w:bCs/>
        </w:rPr>
      </w:pPr>
      <w:r>
        <w:rPr>
          <w:rFonts w:ascii="Arial" w:hAnsi="Arial" w:cs="Arial"/>
          <w:b/>
          <w:bCs/>
        </w:rPr>
        <w:t>Riesgos identificados.</w:t>
      </w:r>
    </w:p>
    <w:p w14:paraId="7196FD09"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Trazabilidad de dependencias casi inexistente</w:t>
      </w:r>
    </w:p>
    <w:p w14:paraId="48763E20" w14:textId="77777777" w:rsidR="002E1FD6" w:rsidRPr="00E54F33" w:rsidRDefault="002E1FD6" w:rsidP="002E1FD6">
      <w:pPr>
        <w:spacing w:after="200" w:line="300" w:lineRule="auto"/>
        <w:jc w:val="both"/>
        <w:rPr>
          <w:rFonts w:ascii="Arial" w:hAnsi="Arial" w:cs="Arial"/>
        </w:rPr>
      </w:pPr>
      <w:r>
        <w:rPr>
          <w:rFonts w:ascii="Arial" w:hAnsi="Arial" w:cs="Arial"/>
          <w:color w:val="202020"/>
        </w:rPr>
        <w:t>Los campos OTROS ELEMENTOS CON LOS QUE SE RELACIONA DIRECTAMENTE y SISTEMA DE INFORMACIÓN QUE IMPACTA están vacíos en 227 de los 304 registros (74,7%), y el campo ID-SISTEMA DE INFORMACIÓN está vacío en 247 registros (81,3%). En la práctica, esto significa que para más de siete de cada diez elementos del catálogo no sabemos qué sistema de información depende de ellos ni con qué otros componentes se relacionan, lo que limita severamente la capacidad de hacer análisis de impacto ante una falla, un mantenimiento o una decisión de baja.</w:t>
      </w:r>
    </w:p>
    <w:p w14:paraId="7B3A3534"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Identificación de activos virtuales débil</w:t>
      </w:r>
    </w:p>
    <w:p w14:paraId="0317F518" w14:textId="77777777" w:rsidR="002E1FD6" w:rsidRPr="00E54F33" w:rsidRDefault="002E1FD6" w:rsidP="002E1FD6">
      <w:pPr>
        <w:spacing w:after="200" w:line="300" w:lineRule="auto"/>
        <w:jc w:val="both"/>
        <w:rPr>
          <w:rFonts w:ascii="Arial" w:hAnsi="Arial" w:cs="Arial"/>
        </w:rPr>
      </w:pPr>
      <w:r>
        <w:rPr>
          <w:rFonts w:ascii="Arial" w:hAnsi="Arial" w:cs="Arial"/>
          <w:color w:val="202020"/>
        </w:rPr>
        <w:t>Ninguno de los 124 servidores virtuales ni de los 94 escritorios virtuales tiene un serial o identificador propio (aparecen como 'N/A' en el Catálogo), y comparten una ficha de especificaciones genérica e idéntica entre sí. Esto impide diferenciar la capacidad real asignada a cada carga de trabajo específica y dificulta el control de inventario de licenciamiento, capacidad y consumo por servidor.</w:t>
      </w:r>
    </w:p>
    <w:p w14:paraId="49224E18"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Obsolescencia tecnológica concreta y ya vigente</w:t>
      </w:r>
    </w:p>
    <w:p w14:paraId="441AC749" w14:textId="77777777" w:rsidR="002E1FD6" w:rsidRPr="00E54F33" w:rsidRDefault="002E1FD6" w:rsidP="002E1FD6">
      <w:pPr>
        <w:spacing w:after="200" w:line="300" w:lineRule="auto"/>
        <w:jc w:val="both"/>
        <w:rPr>
          <w:rFonts w:ascii="Arial" w:hAnsi="Arial" w:cs="Arial"/>
        </w:rPr>
      </w:pPr>
      <w:r>
        <w:rPr>
          <w:rFonts w:ascii="Arial" w:hAnsi="Arial" w:cs="Arial"/>
          <w:color w:val="202020"/>
        </w:rPr>
        <w:t>Los 94 escritorios virtuales corren sobre Windows 10, sistema operativo que salió de soporte estándar de Microsoft en octubre de 2025; a la fecha de este análisis la entidad opera casi un tercio de su catálogo sobre un sistema operativo sin soporte del fabricante, lo que representa exposición a vulnerabilidades sin parche. De forma similar, la plantilla de servidores virtuales usa Windows Server 2019, que ya superó su soporte convencional y solo cuenta con soporte extendido pago, por lo que su renovación debe entrar en el radar de mediano plazo.</w:t>
      </w:r>
    </w:p>
    <w:p w14:paraId="525C20D2"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t>Catálogo como proceso vivo</w:t>
      </w:r>
    </w:p>
    <w:p w14:paraId="3364084F" w14:textId="77777777" w:rsidR="002E1FD6" w:rsidRPr="00E54F33" w:rsidRDefault="002E1FD6" w:rsidP="002E1FD6">
      <w:pPr>
        <w:spacing w:after="200" w:line="300" w:lineRule="auto"/>
        <w:jc w:val="both"/>
        <w:rPr>
          <w:rFonts w:ascii="Arial" w:hAnsi="Arial" w:cs="Arial"/>
        </w:rPr>
      </w:pPr>
      <w:r>
        <w:rPr>
          <w:rFonts w:ascii="Arial" w:hAnsi="Arial" w:cs="Arial"/>
          <w:color w:val="202020"/>
        </w:rPr>
        <w:t>298 de los 304 registros (98%) comparten exactamente la misma fecha de actualización (15 de julio de 2025), y solo 6 (los racks) fueron actualizados en junio de 2026. Se evidencia que el catálogo se diligenció como un ejercicio masivo inicial y ahora para este semestre surgió la actualización de inventario.</w:t>
      </w:r>
    </w:p>
    <w:p w14:paraId="1F9F8762" w14:textId="77777777" w:rsidR="002E1FD6" w:rsidRPr="00E54F33" w:rsidRDefault="002E1FD6" w:rsidP="002E1FD6">
      <w:pPr>
        <w:keepNext/>
        <w:keepLines/>
        <w:spacing w:before="200" w:after="120"/>
        <w:rPr>
          <w:rFonts w:ascii="Arial" w:hAnsi="Arial" w:cs="Arial"/>
        </w:rPr>
      </w:pPr>
      <w:r>
        <w:rPr>
          <w:rFonts w:ascii="Arial" w:hAnsi="Arial" w:cs="Arial"/>
          <w:b/>
          <w:bCs/>
          <w:color w:val="2E5395"/>
          <w:sz w:val="23"/>
          <w:szCs w:val="23"/>
        </w:rPr>
        <w:lastRenderedPageBreak/>
        <w:t>Vacíos de clasificación y campos sin variabilidad</w:t>
      </w:r>
    </w:p>
    <w:p w14:paraId="4619756C" w14:textId="77777777" w:rsidR="002E1FD6" w:rsidRPr="00E54F33" w:rsidRDefault="002E1FD6" w:rsidP="002E1FD6">
      <w:pPr>
        <w:jc w:val="both"/>
        <w:rPr>
          <w:rFonts w:ascii="Arial" w:hAnsi="Arial" w:cs="Arial"/>
          <w:b/>
          <w:bCs/>
        </w:rPr>
      </w:pPr>
      <w:r>
        <w:rPr>
          <w:rFonts w:ascii="Arial" w:hAnsi="Arial" w:cs="Arial"/>
          <w:color w:val="202020"/>
        </w:rPr>
        <w:t>6 registros no tienen TIPO DE ELEMENTO diligenciado, y el campo TIPO DE SERVICIO tiene el mismo valor ('INSTALADO EN SITIO - ON PREMISES') en el 100% de los 304 registros, sin distinguir servicios en nube, híbridos o contratados a terceros, lo que resta utilidad analítica a ese campo tal como está siendo diligenciado hoy.</w:t>
      </w:r>
    </w:p>
    <w:p w14:paraId="59BA7A43" w14:textId="77777777" w:rsidR="002E1FD6" w:rsidRPr="002E32C3" w:rsidRDefault="002E1FD6" w:rsidP="002E1FD6">
      <w:pPr>
        <w:keepNext/>
        <w:keepLines/>
        <w:jc w:val="both"/>
        <w:rPr>
          <w:rFonts w:ascii="Arial" w:hAnsi="Arial" w:cs="Arial"/>
          <w:b/>
          <w:bCs/>
          <w:sz w:val="24"/>
          <w:szCs w:val="24"/>
        </w:rPr>
      </w:pPr>
      <w:r>
        <w:rPr>
          <w:rFonts w:ascii="Arial" w:hAnsi="Arial" w:cs="Arial"/>
          <w:b/>
          <w:bCs/>
          <w:sz w:val="24"/>
          <w:szCs w:val="24"/>
        </w:rPr>
        <w:t>2.2 COMISIÓN DE REGULACIÓN DE ENERGÍA Y GAS (CREG).</w:t>
      </w:r>
    </w:p>
    <w:p w14:paraId="61F147DC"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005EB5DE" w14:textId="77777777" w:rsidR="002E1FD6" w:rsidRPr="00E54F33" w:rsidRDefault="002E1FD6" w:rsidP="002E1FD6">
      <w:pPr>
        <w:jc w:val="both"/>
        <w:rPr>
          <w:rFonts w:ascii="Arial" w:hAnsi="Arial" w:cs="Arial"/>
        </w:rPr>
      </w:pPr>
      <w:r>
        <w:rPr>
          <w:rFonts w:ascii="Arial" w:hAnsi="Arial" w:cs="Arial"/>
        </w:rPr>
        <w:t>El catálogo presentado por la CREG Comisión de Regulación de Energía y Gas contiene un inventario que alcanza 21 elementos de infraestructura tecnológica, todos identificados bajo el prefijo EIT-CREG; Del total de los elementos todos activos registrados con corte al 12 de junio de 2026.</w:t>
      </w:r>
    </w:p>
    <w:p w14:paraId="4C73AB30" w14:textId="77777777" w:rsidR="002E1FD6" w:rsidRPr="00E54F33" w:rsidRDefault="002E1FD6" w:rsidP="002E1FD6">
      <w:pPr>
        <w:jc w:val="both"/>
        <w:rPr>
          <w:rFonts w:ascii="Arial" w:hAnsi="Arial" w:cs="Arial"/>
        </w:rPr>
      </w:pPr>
      <w:r>
        <w:rPr>
          <w:rFonts w:ascii="Arial" w:hAnsi="Arial" w:cs="Arial"/>
        </w:rPr>
        <w:t xml:space="preserve">La infraestructura reportada se organiza en dos capas claramente diferenciadas: una capa de cómputo y bases de datos virtualizadas sobre Oracle Cloud (servidores virtuales y motores de base de datos) y una capa física instalada en sitio (switches, firewalls, puntos de acceso inalámbrico y nodos de </w:t>
      </w:r>
      <w:proofErr w:type="spellStart"/>
      <w:r>
        <w:rPr>
          <w:rFonts w:ascii="Arial" w:hAnsi="Arial" w:cs="Arial"/>
        </w:rPr>
        <w:t>hiperconvergencia</w:t>
      </w:r>
      <w:proofErr w:type="spellEnd"/>
      <w:r>
        <w:rPr>
          <w:rFonts w:ascii="Arial" w:hAnsi="Arial" w:cs="Arial"/>
        </w:rPr>
        <w:t>). Es un inventario pequeño pero denso en interdependencias, característico de una entidad de tamaño medio con una plataforma tecnológica relativamente moderna.</w:t>
      </w:r>
    </w:p>
    <w:p w14:paraId="0C7B2A5B" w14:textId="77777777" w:rsidR="002E1FD6" w:rsidRPr="00E54F33" w:rsidRDefault="002E1FD6" w:rsidP="002E1FD6">
      <w:pPr>
        <w:jc w:val="both"/>
        <w:rPr>
          <w:rFonts w:ascii="Arial" w:hAnsi="Arial" w:cs="Arial"/>
        </w:rPr>
      </w:pPr>
      <w:r>
        <w:rPr>
          <w:rFonts w:ascii="Arial" w:hAnsi="Arial" w:cs="Arial"/>
        </w:rPr>
        <w:t xml:space="preserve">De los 27 elementos, los puntos de acceso inalámbrico (8) y los servidores virtuales (7) concentran más de la mitad del catálogo, seguidos por switches (6), nodos de </w:t>
      </w:r>
      <w:proofErr w:type="spellStart"/>
      <w:r>
        <w:rPr>
          <w:rFonts w:ascii="Arial" w:hAnsi="Arial" w:cs="Arial"/>
        </w:rPr>
        <w:t>hiperconvergencia</w:t>
      </w:r>
      <w:proofErr w:type="spellEnd"/>
      <w:r>
        <w:rPr>
          <w:rFonts w:ascii="Arial" w:hAnsi="Arial" w:cs="Arial"/>
        </w:rPr>
        <w:t xml:space="preserve"> (3), firewalls (2) y un elemento de almacenamiento para respaldo.</w:t>
      </w:r>
    </w:p>
    <w:tbl>
      <w:tblPr>
        <w:tblW w:w="6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9"/>
        <w:gridCol w:w="1800"/>
        <w:gridCol w:w="1800"/>
      </w:tblGrid>
      <w:tr w:rsidR="002E1FD6" w:rsidRPr="00E54F33" w14:paraId="732721C7" w14:textId="77777777" w:rsidTr="003A4183">
        <w:trPr>
          <w:tblHeader/>
          <w:jc w:val="center"/>
        </w:trPr>
        <w:tc>
          <w:tcPr>
            <w:tcW w:w="2689" w:type="dxa"/>
            <w:shd w:val="clear" w:color="auto" w:fill="1F3864"/>
            <w:tcMar>
              <w:top w:w="80" w:type="dxa"/>
              <w:left w:w="100" w:type="dxa"/>
              <w:bottom w:w="80" w:type="dxa"/>
              <w:right w:w="100" w:type="dxa"/>
            </w:tcMar>
          </w:tcPr>
          <w:p w14:paraId="6C14A5B8" w14:textId="77777777" w:rsidR="002E1FD6" w:rsidRPr="00E54F33" w:rsidRDefault="002E1FD6" w:rsidP="003A4183">
            <w:r>
              <w:rPr>
                <w:b/>
                <w:bCs/>
                <w:color w:val="FFFFFF"/>
                <w:sz w:val="20"/>
                <w:szCs w:val="20"/>
              </w:rPr>
              <w:t>Tipo de elemento</w:t>
            </w:r>
          </w:p>
        </w:tc>
        <w:tc>
          <w:tcPr>
            <w:tcW w:w="1800" w:type="dxa"/>
            <w:shd w:val="clear" w:color="auto" w:fill="1F3864"/>
            <w:tcMar>
              <w:top w:w="80" w:type="dxa"/>
              <w:left w:w="100" w:type="dxa"/>
              <w:bottom w:w="80" w:type="dxa"/>
              <w:right w:w="100" w:type="dxa"/>
            </w:tcMar>
          </w:tcPr>
          <w:p w14:paraId="6F267AAD" w14:textId="77777777" w:rsidR="002E1FD6" w:rsidRPr="00E54F33" w:rsidRDefault="002E1FD6" w:rsidP="003A4183">
            <w:r>
              <w:rPr>
                <w:b/>
                <w:bCs/>
                <w:color w:val="FFFFFF"/>
                <w:sz w:val="20"/>
                <w:szCs w:val="20"/>
              </w:rPr>
              <w:t>Cantidad</w:t>
            </w:r>
          </w:p>
        </w:tc>
        <w:tc>
          <w:tcPr>
            <w:tcW w:w="1800" w:type="dxa"/>
            <w:shd w:val="clear" w:color="auto" w:fill="1F3864"/>
            <w:tcMar>
              <w:top w:w="80" w:type="dxa"/>
              <w:left w:w="100" w:type="dxa"/>
              <w:bottom w:w="80" w:type="dxa"/>
              <w:right w:w="100" w:type="dxa"/>
            </w:tcMar>
          </w:tcPr>
          <w:p w14:paraId="323D4259" w14:textId="77777777" w:rsidR="002E1FD6" w:rsidRPr="00E54F33" w:rsidRDefault="002E1FD6" w:rsidP="003A4183">
            <w:r>
              <w:rPr>
                <w:b/>
                <w:bCs/>
                <w:color w:val="FFFFFF"/>
                <w:sz w:val="20"/>
                <w:szCs w:val="20"/>
              </w:rPr>
              <w:t>% del total</w:t>
            </w:r>
          </w:p>
        </w:tc>
      </w:tr>
      <w:tr w:rsidR="002E1FD6" w:rsidRPr="00E54F33" w14:paraId="56F40B13" w14:textId="77777777" w:rsidTr="003A4183">
        <w:trPr>
          <w:jc w:val="center"/>
        </w:trPr>
        <w:tc>
          <w:tcPr>
            <w:tcW w:w="2689" w:type="dxa"/>
            <w:tcMar>
              <w:top w:w="80" w:type="dxa"/>
              <w:left w:w="100" w:type="dxa"/>
              <w:bottom w:w="80" w:type="dxa"/>
              <w:right w:w="100" w:type="dxa"/>
            </w:tcMar>
          </w:tcPr>
          <w:p w14:paraId="3F47BA24" w14:textId="77777777" w:rsidR="002E1FD6" w:rsidRPr="00E54F33" w:rsidRDefault="002E1FD6" w:rsidP="003A4183">
            <w:r>
              <w:rPr>
                <w:sz w:val="20"/>
                <w:szCs w:val="20"/>
              </w:rPr>
              <w:t>ACCESS POINT</w:t>
            </w:r>
          </w:p>
        </w:tc>
        <w:tc>
          <w:tcPr>
            <w:tcW w:w="1800" w:type="dxa"/>
            <w:tcMar>
              <w:top w:w="80" w:type="dxa"/>
              <w:left w:w="100" w:type="dxa"/>
              <w:bottom w:w="80" w:type="dxa"/>
              <w:right w:w="100" w:type="dxa"/>
            </w:tcMar>
          </w:tcPr>
          <w:p w14:paraId="3DBCD1D1" w14:textId="77777777" w:rsidR="002E1FD6" w:rsidRPr="00E54F33" w:rsidRDefault="002E1FD6" w:rsidP="003A4183">
            <w:pPr>
              <w:jc w:val="center"/>
            </w:pPr>
            <w:r>
              <w:rPr>
                <w:sz w:val="20"/>
                <w:szCs w:val="20"/>
              </w:rPr>
              <w:t>8</w:t>
            </w:r>
          </w:p>
        </w:tc>
        <w:tc>
          <w:tcPr>
            <w:tcW w:w="1800" w:type="dxa"/>
            <w:tcMar>
              <w:top w:w="80" w:type="dxa"/>
              <w:left w:w="100" w:type="dxa"/>
              <w:bottom w:w="80" w:type="dxa"/>
              <w:right w:w="100" w:type="dxa"/>
            </w:tcMar>
          </w:tcPr>
          <w:p w14:paraId="0FCA177F" w14:textId="77777777" w:rsidR="002E1FD6" w:rsidRPr="00E54F33" w:rsidRDefault="002E1FD6" w:rsidP="003A4183">
            <w:pPr>
              <w:jc w:val="center"/>
            </w:pPr>
            <w:r>
              <w:rPr>
                <w:sz w:val="20"/>
                <w:szCs w:val="20"/>
              </w:rPr>
              <w:t>29,6%</w:t>
            </w:r>
          </w:p>
        </w:tc>
      </w:tr>
      <w:tr w:rsidR="002E1FD6" w:rsidRPr="00E54F33" w14:paraId="301540EC" w14:textId="77777777" w:rsidTr="003A4183">
        <w:trPr>
          <w:jc w:val="center"/>
        </w:trPr>
        <w:tc>
          <w:tcPr>
            <w:tcW w:w="2689" w:type="dxa"/>
            <w:shd w:val="clear" w:color="auto" w:fill="EAF1F8"/>
            <w:tcMar>
              <w:top w:w="80" w:type="dxa"/>
              <w:left w:w="100" w:type="dxa"/>
              <w:bottom w:w="80" w:type="dxa"/>
              <w:right w:w="100" w:type="dxa"/>
            </w:tcMar>
          </w:tcPr>
          <w:p w14:paraId="6B59AA9F" w14:textId="77777777" w:rsidR="002E1FD6" w:rsidRPr="00E54F33" w:rsidRDefault="002E1FD6" w:rsidP="003A4183">
            <w:r>
              <w:rPr>
                <w:sz w:val="20"/>
                <w:szCs w:val="20"/>
              </w:rPr>
              <w:t>SERVIDOR VIRTUAL</w:t>
            </w:r>
          </w:p>
        </w:tc>
        <w:tc>
          <w:tcPr>
            <w:tcW w:w="1800" w:type="dxa"/>
            <w:shd w:val="clear" w:color="auto" w:fill="EAF1F8"/>
            <w:tcMar>
              <w:top w:w="80" w:type="dxa"/>
              <w:left w:w="100" w:type="dxa"/>
              <w:bottom w:w="80" w:type="dxa"/>
              <w:right w:w="100" w:type="dxa"/>
            </w:tcMar>
          </w:tcPr>
          <w:p w14:paraId="69F383FB" w14:textId="77777777" w:rsidR="002E1FD6" w:rsidRPr="00E54F33" w:rsidRDefault="002E1FD6" w:rsidP="003A4183">
            <w:pPr>
              <w:jc w:val="center"/>
            </w:pPr>
            <w:r>
              <w:rPr>
                <w:sz w:val="20"/>
                <w:szCs w:val="20"/>
              </w:rPr>
              <w:t>7</w:t>
            </w:r>
          </w:p>
        </w:tc>
        <w:tc>
          <w:tcPr>
            <w:tcW w:w="1800" w:type="dxa"/>
            <w:shd w:val="clear" w:color="auto" w:fill="EAF1F8"/>
            <w:tcMar>
              <w:top w:w="80" w:type="dxa"/>
              <w:left w:w="100" w:type="dxa"/>
              <w:bottom w:w="80" w:type="dxa"/>
              <w:right w:w="100" w:type="dxa"/>
            </w:tcMar>
          </w:tcPr>
          <w:p w14:paraId="3E1B1584" w14:textId="77777777" w:rsidR="002E1FD6" w:rsidRPr="00E54F33" w:rsidRDefault="002E1FD6" w:rsidP="003A4183">
            <w:pPr>
              <w:jc w:val="center"/>
            </w:pPr>
            <w:r>
              <w:rPr>
                <w:sz w:val="20"/>
                <w:szCs w:val="20"/>
              </w:rPr>
              <w:t>25,9%</w:t>
            </w:r>
          </w:p>
        </w:tc>
      </w:tr>
      <w:tr w:rsidR="002E1FD6" w:rsidRPr="00E54F33" w14:paraId="10BA7B35" w14:textId="77777777" w:rsidTr="003A4183">
        <w:trPr>
          <w:jc w:val="center"/>
        </w:trPr>
        <w:tc>
          <w:tcPr>
            <w:tcW w:w="2689" w:type="dxa"/>
            <w:tcMar>
              <w:top w:w="80" w:type="dxa"/>
              <w:left w:w="100" w:type="dxa"/>
              <w:bottom w:w="80" w:type="dxa"/>
              <w:right w:w="100" w:type="dxa"/>
            </w:tcMar>
          </w:tcPr>
          <w:p w14:paraId="3A685AA7" w14:textId="77777777" w:rsidR="002E1FD6" w:rsidRPr="00E54F33" w:rsidRDefault="002E1FD6" w:rsidP="003A4183">
            <w:r>
              <w:rPr>
                <w:sz w:val="20"/>
                <w:szCs w:val="20"/>
              </w:rPr>
              <w:t>SWITCH</w:t>
            </w:r>
          </w:p>
        </w:tc>
        <w:tc>
          <w:tcPr>
            <w:tcW w:w="1800" w:type="dxa"/>
            <w:tcMar>
              <w:top w:w="80" w:type="dxa"/>
              <w:left w:w="100" w:type="dxa"/>
              <w:bottom w:w="80" w:type="dxa"/>
              <w:right w:w="100" w:type="dxa"/>
            </w:tcMar>
          </w:tcPr>
          <w:p w14:paraId="506A85FE" w14:textId="77777777" w:rsidR="002E1FD6" w:rsidRPr="00E54F33" w:rsidRDefault="002E1FD6" w:rsidP="003A4183">
            <w:pPr>
              <w:jc w:val="center"/>
            </w:pPr>
            <w:r>
              <w:rPr>
                <w:sz w:val="20"/>
                <w:szCs w:val="20"/>
              </w:rPr>
              <w:t>6</w:t>
            </w:r>
          </w:p>
        </w:tc>
        <w:tc>
          <w:tcPr>
            <w:tcW w:w="1800" w:type="dxa"/>
            <w:tcMar>
              <w:top w:w="80" w:type="dxa"/>
              <w:left w:w="100" w:type="dxa"/>
              <w:bottom w:w="80" w:type="dxa"/>
              <w:right w:w="100" w:type="dxa"/>
            </w:tcMar>
          </w:tcPr>
          <w:p w14:paraId="21A34C7F" w14:textId="77777777" w:rsidR="002E1FD6" w:rsidRPr="00E54F33" w:rsidRDefault="002E1FD6" w:rsidP="003A4183">
            <w:pPr>
              <w:jc w:val="center"/>
            </w:pPr>
            <w:r>
              <w:rPr>
                <w:sz w:val="20"/>
                <w:szCs w:val="20"/>
              </w:rPr>
              <w:t>22,2%</w:t>
            </w:r>
          </w:p>
        </w:tc>
      </w:tr>
      <w:tr w:rsidR="002E1FD6" w:rsidRPr="00E54F33" w14:paraId="08459D26" w14:textId="77777777" w:rsidTr="003A4183">
        <w:trPr>
          <w:jc w:val="center"/>
        </w:trPr>
        <w:tc>
          <w:tcPr>
            <w:tcW w:w="2689" w:type="dxa"/>
            <w:shd w:val="clear" w:color="auto" w:fill="EAF1F8"/>
            <w:tcMar>
              <w:top w:w="80" w:type="dxa"/>
              <w:left w:w="100" w:type="dxa"/>
              <w:bottom w:w="80" w:type="dxa"/>
              <w:right w:w="100" w:type="dxa"/>
            </w:tcMar>
          </w:tcPr>
          <w:p w14:paraId="5D155647" w14:textId="77777777" w:rsidR="002E1FD6" w:rsidRPr="00E54F33" w:rsidRDefault="002E1FD6" w:rsidP="003A4183">
            <w:r>
              <w:rPr>
                <w:sz w:val="20"/>
                <w:szCs w:val="20"/>
              </w:rPr>
              <w:t xml:space="preserve">Nodos de </w:t>
            </w:r>
            <w:proofErr w:type="spellStart"/>
            <w:r>
              <w:rPr>
                <w:sz w:val="20"/>
                <w:szCs w:val="20"/>
              </w:rPr>
              <w:t>Hiperconvergencia</w:t>
            </w:r>
            <w:proofErr w:type="spellEnd"/>
          </w:p>
        </w:tc>
        <w:tc>
          <w:tcPr>
            <w:tcW w:w="1800" w:type="dxa"/>
            <w:shd w:val="clear" w:color="auto" w:fill="EAF1F8"/>
            <w:tcMar>
              <w:top w:w="80" w:type="dxa"/>
              <w:left w:w="100" w:type="dxa"/>
              <w:bottom w:w="80" w:type="dxa"/>
              <w:right w:w="100" w:type="dxa"/>
            </w:tcMar>
          </w:tcPr>
          <w:p w14:paraId="169BBA36" w14:textId="77777777" w:rsidR="002E1FD6" w:rsidRPr="00E54F33" w:rsidRDefault="002E1FD6" w:rsidP="003A4183">
            <w:pPr>
              <w:jc w:val="center"/>
            </w:pPr>
            <w:r>
              <w:rPr>
                <w:sz w:val="20"/>
                <w:szCs w:val="20"/>
              </w:rPr>
              <w:t>3</w:t>
            </w:r>
          </w:p>
        </w:tc>
        <w:tc>
          <w:tcPr>
            <w:tcW w:w="1800" w:type="dxa"/>
            <w:shd w:val="clear" w:color="auto" w:fill="EAF1F8"/>
            <w:tcMar>
              <w:top w:w="80" w:type="dxa"/>
              <w:left w:w="100" w:type="dxa"/>
              <w:bottom w:w="80" w:type="dxa"/>
              <w:right w:w="100" w:type="dxa"/>
            </w:tcMar>
          </w:tcPr>
          <w:p w14:paraId="6F4369FA" w14:textId="77777777" w:rsidR="002E1FD6" w:rsidRPr="00E54F33" w:rsidRDefault="002E1FD6" w:rsidP="003A4183">
            <w:pPr>
              <w:jc w:val="center"/>
            </w:pPr>
            <w:r>
              <w:rPr>
                <w:sz w:val="20"/>
                <w:szCs w:val="20"/>
              </w:rPr>
              <w:t>11,1%</w:t>
            </w:r>
          </w:p>
        </w:tc>
      </w:tr>
      <w:tr w:rsidR="002E1FD6" w:rsidRPr="00E54F33" w14:paraId="60BA1847" w14:textId="77777777" w:rsidTr="003A4183">
        <w:trPr>
          <w:jc w:val="center"/>
        </w:trPr>
        <w:tc>
          <w:tcPr>
            <w:tcW w:w="2689" w:type="dxa"/>
            <w:tcMar>
              <w:top w:w="80" w:type="dxa"/>
              <w:left w:w="100" w:type="dxa"/>
              <w:bottom w:w="80" w:type="dxa"/>
              <w:right w:w="100" w:type="dxa"/>
            </w:tcMar>
          </w:tcPr>
          <w:p w14:paraId="71AA820F" w14:textId="77777777" w:rsidR="002E1FD6" w:rsidRPr="00E54F33" w:rsidRDefault="002E1FD6" w:rsidP="003A4183">
            <w:r>
              <w:rPr>
                <w:sz w:val="20"/>
                <w:szCs w:val="20"/>
              </w:rPr>
              <w:t>FIREWALL</w:t>
            </w:r>
          </w:p>
        </w:tc>
        <w:tc>
          <w:tcPr>
            <w:tcW w:w="1800" w:type="dxa"/>
            <w:tcMar>
              <w:top w:w="80" w:type="dxa"/>
              <w:left w:w="100" w:type="dxa"/>
              <w:bottom w:w="80" w:type="dxa"/>
              <w:right w:w="100" w:type="dxa"/>
            </w:tcMar>
          </w:tcPr>
          <w:p w14:paraId="354C6FB0" w14:textId="77777777" w:rsidR="002E1FD6" w:rsidRPr="00E54F33" w:rsidRDefault="002E1FD6" w:rsidP="003A4183">
            <w:pPr>
              <w:jc w:val="center"/>
            </w:pPr>
            <w:r>
              <w:rPr>
                <w:sz w:val="20"/>
                <w:szCs w:val="20"/>
              </w:rPr>
              <w:t>2</w:t>
            </w:r>
          </w:p>
        </w:tc>
        <w:tc>
          <w:tcPr>
            <w:tcW w:w="1800" w:type="dxa"/>
            <w:tcMar>
              <w:top w:w="80" w:type="dxa"/>
              <w:left w:w="100" w:type="dxa"/>
              <w:bottom w:w="80" w:type="dxa"/>
              <w:right w:w="100" w:type="dxa"/>
            </w:tcMar>
          </w:tcPr>
          <w:p w14:paraId="50657EB0" w14:textId="77777777" w:rsidR="002E1FD6" w:rsidRPr="00E54F33" w:rsidRDefault="002E1FD6" w:rsidP="003A4183">
            <w:pPr>
              <w:jc w:val="center"/>
            </w:pPr>
            <w:r>
              <w:rPr>
                <w:sz w:val="20"/>
                <w:szCs w:val="20"/>
              </w:rPr>
              <w:t>7,4%</w:t>
            </w:r>
          </w:p>
        </w:tc>
      </w:tr>
      <w:tr w:rsidR="002E1FD6" w:rsidRPr="00E54F33" w14:paraId="69EA4AD2" w14:textId="77777777" w:rsidTr="003A4183">
        <w:trPr>
          <w:jc w:val="center"/>
        </w:trPr>
        <w:tc>
          <w:tcPr>
            <w:tcW w:w="2689" w:type="dxa"/>
            <w:shd w:val="clear" w:color="auto" w:fill="EAF1F8"/>
            <w:tcMar>
              <w:top w:w="80" w:type="dxa"/>
              <w:left w:w="100" w:type="dxa"/>
              <w:bottom w:w="80" w:type="dxa"/>
              <w:right w:w="100" w:type="dxa"/>
            </w:tcMar>
          </w:tcPr>
          <w:p w14:paraId="5E423CAC" w14:textId="77777777" w:rsidR="002E1FD6" w:rsidRPr="00E54F33" w:rsidRDefault="002E1FD6" w:rsidP="003A4183">
            <w:r>
              <w:rPr>
                <w:sz w:val="20"/>
                <w:szCs w:val="20"/>
              </w:rPr>
              <w:t>ALMACENAMIENTO</w:t>
            </w:r>
          </w:p>
        </w:tc>
        <w:tc>
          <w:tcPr>
            <w:tcW w:w="1800" w:type="dxa"/>
            <w:shd w:val="clear" w:color="auto" w:fill="EAF1F8"/>
            <w:tcMar>
              <w:top w:w="80" w:type="dxa"/>
              <w:left w:w="100" w:type="dxa"/>
              <w:bottom w:w="80" w:type="dxa"/>
              <w:right w:w="100" w:type="dxa"/>
            </w:tcMar>
          </w:tcPr>
          <w:p w14:paraId="2E1E8D5E" w14:textId="77777777" w:rsidR="002E1FD6" w:rsidRPr="00E54F33" w:rsidRDefault="002E1FD6" w:rsidP="003A4183">
            <w:pPr>
              <w:jc w:val="center"/>
            </w:pPr>
            <w:r>
              <w:rPr>
                <w:sz w:val="20"/>
                <w:szCs w:val="20"/>
              </w:rPr>
              <w:t>1</w:t>
            </w:r>
          </w:p>
        </w:tc>
        <w:tc>
          <w:tcPr>
            <w:tcW w:w="1800" w:type="dxa"/>
            <w:shd w:val="clear" w:color="auto" w:fill="EAF1F8"/>
            <w:tcMar>
              <w:top w:w="80" w:type="dxa"/>
              <w:left w:w="100" w:type="dxa"/>
              <w:bottom w:w="80" w:type="dxa"/>
              <w:right w:w="100" w:type="dxa"/>
            </w:tcMar>
          </w:tcPr>
          <w:p w14:paraId="652224CA" w14:textId="77777777" w:rsidR="002E1FD6" w:rsidRPr="00E54F33" w:rsidRDefault="002E1FD6" w:rsidP="003A4183">
            <w:pPr>
              <w:jc w:val="center"/>
            </w:pPr>
            <w:r>
              <w:rPr>
                <w:sz w:val="20"/>
                <w:szCs w:val="20"/>
              </w:rPr>
              <w:t>3,7%</w:t>
            </w:r>
          </w:p>
        </w:tc>
      </w:tr>
      <w:tr w:rsidR="002E1FD6" w:rsidRPr="00E54F33" w14:paraId="56AD108A" w14:textId="77777777" w:rsidTr="003A4183">
        <w:trPr>
          <w:jc w:val="center"/>
        </w:trPr>
        <w:tc>
          <w:tcPr>
            <w:tcW w:w="2689" w:type="dxa"/>
            <w:shd w:val="clear" w:color="auto" w:fill="1F3864" w:themeFill="accent1" w:themeFillShade="80"/>
            <w:tcMar>
              <w:top w:w="80" w:type="dxa"/>
              <w:left w:w="100" w:type="dxa"/>
              <w:bottom w:w="80" w:type="dxa"/>
              <w:right w:w="100" w:type="dxa"/>
            </w:tcMar>
            <w:vAlign w:val="center"/>
          </w:tcPr>
          <w:p w14:paraId="5C455AA4" w14:textId="77777777" w:rsidR="002E1FD6" w:rsidRPr="00E54F33" w:rsidRDefault="002E1FD6" w:rsidP="003A4183">
            <w:pPr>
              <w:jc w:val="center"/>
              <w:rPr>
                <w:b/>
                <w:bCs/>
                <w:color w:val="FFFFFF"/>
                <w:sz w:val="20"/>
                <w:szCs w:val="20"/>
              </w:rPr>
            </w:pPr>
            <w:r>
              <w:rPr>
                <w:b/>
                <w:bCs/>
                <w:color w:val="FFFFFF"/>
                <w:sz w:val="20"/>
                <w:szCs w:val="20"/>
              </w:rPr>
              <w:t>Total</w:t>
            </w:r>
          </w:p>
        </w:tc>
        <w:tc>
          <w:tcPr>
            <w:tcW w:w="1800" w:type="dxa"/>
            <w:shd w:val="clear" w:color="auto" w:fill="1F3864" w:themeFill="accent1" w:themeFillShade="80"/>
            <w:tcMar>
              <w:top w:w="80" w:type="dxa"/>
              <w:left w:w="100" w:type="dxa"/>
              <w:bottom w:w="80" w:type="dxa"/>
              <w:right w:w="100" w:type="dxa"/>
            </w:tcMar>
            <w:vAlign w:val="center"/>
          </w:tcPr>
          <w:p w14:paraId="6BB3252F" w14:textId="77777777" w:rsidR="002E1FD6" w:rsidRPr="00E54F33" w:rsidRDefault="002E1FD6" w:rsidP="003A4183">
            <w:pPr>
              <w:jc w:val="center"/>
              <w:rPr>
                <w:b/>
                <w:bCs/>
                <w:color w:val="FFFFFF"/>
                <w:sz w:val="20"/>
                <w:szCs w:val="20"/>
              </w:rPr>
            </w:pPr>
            <w:r>
              <w:rPr>
                <w:b/>
                <w:bCs/>
                <w:color w:val="FFFFFF"/>
                <w:sz w:val="20"/>
                <w:szCs w:val="20"/>
              </w:rPr>
              <w:t>27</w:t>
            </w:r>
          </w:p>
        </w:tc>
        <w:tc>
          <w:tcPr>
            <w:tcW w:w="1800" w:type="dxa"/>
            <w:shd w:val="clear" w:color="auto" w:fill="1F3864" w:themeFill="accent1" w:themeFillShade="80"/>
            <w:tcMar>
              <w:top w:w="80" w:type="dxa"/>
              <w:left w:w="100" w:type="dxa"/>
              <w:bottom w:w="80" w:type="dxa"/>
              <w:right w:w="100" w:type="dxa"/>
            </w:tcMar>
            <w:vAlign w:val="center"/>
          </w:tcPr>
          <w:p w14:paraId="52A67396" w14:textId="77777777" w:rsidR="002E1FD6" w:rsidRPr="00E54F33" w:rsidRDefault="002E1FD6" w:rsidP="003A4183">
            <w:pPr>
              <w:jc w:val="center"/>
              <w:rPr>
                <w:b/>
                <w:bCs/>
                <w:color w:val="FFFFFF"/>
                <w:sz w:val="20"/>
                <w:szCs w:val="20"/>
              </w:rPr>
            </w:pPr>
            <w:r>
              <w:rPr>
                <w:b/>
                <w:bCs/>
                <w:color w:val="FFFFFF"/>
                <w:sz w:val="20"/>
                <w:szCs w:val="20"/>
              </w:rPr>
              <w:t>100%</w:t>
            </w:r>
          </w:p>
        </w:tc>
      </w:tr>
    </w:tbl>
    <w:p w14:paraId="4860702C" w14:textId="77777777" w:rsidR="002E1FD6" w:rsidRPr="00E54F33" w:rsidRDefault="002E1FD6" w:rsidP="002E1FD6">
      <w:pPr>
        <w:jc w:val="center"/>
        <w:rPr>
          <w:rFonts w:ascii="Arial" w:hAnsi="Arial" w:cs="Arial"/>
        </w:rPr>
      </w:pPr>
    </w:p>
    <w:p w14:paraId="36BC335C" w14:textId="77777777" w:rsidR="002E1FD6" w:rsidRPr="00E54F33" w:rsidRDefault="002E1FD6" w:rsidP="002E1FD6">
      <w:pPr>
        <w:jc w:val="both"/>
        <w:rPr>
          <w:rFonts w:ascii="Arial" w:hAnsi="Arial" w:cs="Arial"/>
        </w:rPr>
      </w:pPr>
      <w:r>
        <w:rPr>
          <w:rFonts w:ascii="Arial" w:hAnsi="Arial" w:cs="Arial"/>
        </w:rPr>
        <w:lastRenderedPageBreak/>
        <w:t xml:space="preserve">Analizando los elementos se cree que CREG opera un modelo híbrido: la capa de aplicaciones y bases de datos está virtualizada sobre infraestructura en la nube de Oracle (OCI), mientras que la conectividad, seguridad perimetral y el clúster de </w:t>
      </w:r>
      <w:proofErr w:type="spellStart"/>
      <w:r>
        <w:rPr>
          <w:rFonts w:ascii="Arial" w:hAnsi="Arial" w:cs="Arial"/>
        </w:rPr>
        <w:t>hiperconvergencia</w:t>
      </w:r>
      <w:proofErr w:type="spellEnd"/>
      <w:r>
        <w:rPr>
          <w:rFonts w:ascii="Arial" w:hAnsi="Arial" w:cs="Arial"/>
        </w:rPr>
        <w:t xml:space="preserve"> permanecen instalados en sitio.</w:t>
      </w:r>
    </w:p>
    <w:p w14:paraId="6D0B0F0F" w14:textId="77777777" w:rsidR="002E1FD6" w:rsidRPr="00E54F33" w:rsidRDefault="002E1FD6" w:rsidP="002E1FD6">
      <w:pPr>
        <w:jc w:val="both"/>
        <w:rPr>
          <w:rFonts w:ascii="Arial" w:hAnsi="Arial" w:cs="Arial"/>
          <w:b/>
          <w:bCs/>
          <w:color w:val="2E5395"/>
          <w:sz w:val="23"/>
          <w:szCs w:val="23"/>
        </w:rPr>
      </w:pPr>
    </w:p>
    <w:p w14:paraId="5C4DACF5" w14:textId="77777777" w:rsidR="002E1FD6" w:rsidRDefault="002E1FD6" w:rsidP="002E1FD6">
      <w:pPr>
        <w:keepNext/>
        <w:keepLines/>
        <w:jc w:val="both"/>
        <w:rPr>
          <w:rFonts w:ascii="Arial" w:hAnsi="Arial" w:cs="Arial"/>
          <w:b/>
          <w:bCs/>
        </w:rPr>
      </w:pPr>
      <w:r>
        <w:rPr>
          <w:rFonts w:ascii="Arial" w:hAnsi="Arial" w:cs="Arial"/>
          <w:b/>
          <w:bCs/>
        </w:rPr>
        <w:t>Hallazgos principales.</w:t>
      </w:r>
    </w:p>
    <w:p w14:paraId="2AF10C3F" w14:textId="77777777" w:rsidR="002E1FD6" w:rsidRPr="00E54F33" w:rsidRDefault="002E1FD6" w:rsidP="002E1FD6">
      <w:pPr>
        <w:keepNext/>
        <w:keepLines/>
        <w:jc w:val="both"/>
        <w:rPr>
          <w:rFonts w:ascii="Arial" w:hAnsi="Arial" w:cs="Arial"/>
          <w:b/>
          <w:bCs/>
          <w:color w:val="2E5395"/>
          <w:sz w:val="23"/>
          <w:szCs w:val="23"/>
        </w:rPr>
      </w:pPr>
      <w:r>
        <w:rPr>
          <w:rFonts w:ascii="Arial" w:hAnsi="Arial" w:cs="Arial"/>
          <w:b/>
          <w:bCs/>
          <w:color w:val="2E5395"/>
          <w:sz w:val="23"/>
          <w:szCs w:val="23"/>
        </w:rPr>
        <w:t>Modalidad de tenencia</w:t>
      </w:r>
    </w:p>
    <w:p w14:paraId="7C6F8D2C" w14:textId="77777777" w:rsidR="002E1FD6" w:rsidRPr="00E54F33" w:rsidRDefault="002E1FD6" w:rsidP="002E1FD6">
      <w:pPr>
        <w:jc w:val="both"/>
        <w:rPr>
          <w:rFonts w:ascii="Arial" w:hAnsi="Arial" w:cs="Arial"/>
        </w:rPr>
      </w:pPr>
      <w:r>
        <w:rPr>
          <w:rFonts w:ascii="Arial" w:hAnsi="Arial" w:cs="Arial"/>
        </w:rPr>
        <w:t>Al revisar el tipo de servicio bajo el cual opera cada elemento, se observa que el 40,7% está instalado en sitio como activo propio, el 33,3% opera bajo la modalidad de comodato (préstamo de un tercero) y el 25,9% restante corresponde a servicios contratados en la nube (IaaS/PaaS).</w:t>
      </w:r>
    </w:p>
    <w:tbl>
      <w:tblPr>
        <w:tblW w:w="5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2"/>
        <w:gridCol w:w="992"/>
        <w:gridCol w:w="1800"/>
      </w:tblGrid>
      <w:tr w:rsidR="002E1FD6" w:rsidRPr="00E54F33" w14:paraId="61D7CB9C" w14:textId="77777777" w:rsidTr="003A4183">
        <w:trPr>
          <w:trHeight w:val="298"/>
          <w:tblHeader/>
          <w:jc w:val="center"/>
        </w:trPr>
        <w:tc>
          <w:tcPr>
            <w:tcW w:w="2972" w:type="dxa"/>
            <w:shd w:val="clear" w:color="auto" w:fill="1F3864"/>
            <w:tcMar>
              <w:top w:w="80" w:type="dxa"/>
              <w:left w:w="100" w:type="dxa"/>
              <w:bottom w:w="80" w:type="dxa"/>
              <w:right w:w="100" w:type="dxa"/>
            </w:tcMar>
            <w:vAlign w:val="center"/>
          </w:tcPr>
          <w:p w14:paraId="5E87CB57" w14:textId="77777777" w:rsidR="002E1FD6" w:rsidRPr="00E54F33" w:rsidRDefault="002E1FD6" w:rsidP="003A4183">
            <w:pPr>
              <w:jc w:val="center"/>
            </w:pPr>
            <w:r>
              <w:rPr>
                <w:b/>
                <w:bCs/>
                <w:color w:val="FFFFFF"/>
                <w:sz w:val="20"/>
                <w:szCs w:val="20"/>
              </w:rPr>
              <w:t>Modalidad de servicio</w:t>
            </w:r>
          </w:p>
        </w:tc>
        <w:tc>
          <w:tcPr>
            <w:tcW w:w="992" w:type="dxa"/>
            <w:shd w:val="clear" w:color="auto" w:fill="1F3864"/>
            <w:tcMar>
              <w:top w:w="80" w:type="dxa"/>
              <w:left w:w="100" w:type="dxa"/>
              <w:bottom w:w="80" w:type="dxa"/>
              <w:right w:w="100" w:type="dxa"/>
            </w:tcMar>
            <w:vAlign w:val="center"/>
          </w:tcPr>
          <w:p w14:paraId="1A90BA46" w14:textId="77777777" w:rsidR="002E1FD6" w:rsidRPr="00E54F33" w:rsidRDefault="002E1FD6" w:rsidP="003A4183">
            <w:pPr>
              <w:jc w:val="center"/>
            </w:pPr>
            <w:r>
              <w:rPr>
                <w:b/>
                <w:bCs/>
                <w:color w:val="FFFFFF"/>
                <w:sz w:val="20"/>
                <w:szCs w:val="20"/>
              </w:rPr>
              <w:t>Cantidad</w:t>
            </w:r>
          </w:p>
        </w:tc>
        <w:tc>
          <w:tcPr>
            <w:tcW w:w="1800" w:type="dxa"/>
            <w:shd w:val="clear" w:color="auto" w:fill="1F3864"/>
            <w:tcMar>
              <w:top w:w="80" w:type="dxa"/>
              <w:left w:w="100" w:type="dxa"/>
              <w:bottom w:w="80" w:type="dxa"/>
              <w:right w:w="100" w:type="dxa"/>
            </w:tcMar>
            <w:vAlign w:val="center"/>
          </w:tcPr>
          <w:p w14:paraId="3D46D7F6" w14:textId="77777777" w:rsidR="002E1FD6" w:rsidRPr="00E54F33" w:rsidRDefault="002E1FD6" w:rsidP="003A4183">
            <w:pPr>
              <w:jc w:val="center"/>
            </w:pPr>
            <w:r>
              <w:rPr>
                <w:b/>
                <w:bCs/>
                <w:color w:val="FFFFFF"/>
                <w:sz w:val="20"/>
                <w:szCs w:val="20"/>
              </w:rPr>
              <w:t>% del total</w:t>
            </w:r>
          </w:p>
        </w:tc>
      </w:tr>
      <w:tr w:rsidR="002E1FD6" w:rsidRPr="00E54F33" w14:paraId="68F0367E" w14:textId="77777777" w:rsidTr="003A4183">
        <w:trPr>
          <w:jc w:val="center"/>
        </w:trPr>
        <w:tc>
          <w:tcPr>
            <w:tcW w:w="2972" w:type="dxa"/>
            <w:tcMar>
              <w:top w:w="80" w:type="dxa"/>
              <w:left w:w="100" w:type="dxa"/>
              <w:bottom w:w="80" w:type="dxa"/>
              <w:right w:w="100" w:type="dxa"/>
            </w:tcMar>
          </w:tcPr>
          <w:p w14:paraId="2EAB184F" w14:textId="77777777" w:rsidR="002E1FD6" w:rsidRPr="00E54F33" w:rsidRDefault="002E1FD6" w:rsidP="003A4183">
            <w:r>
              <w:rPr>
                <w:sz w:val="20"/>
                <w:szCs w:val="20"/>
              </w:rPr>
              <w:t>Instalado en sitio (</w:t>
            </w:r>
            <w:proofErr w:type="spellStart"/>
            <w:r>
              <w:rPr>
                <w:sz w:val="20"/>
                <w:szCs w:val="20"/>
              </w:rPr>
              <w:t>on</w:t>
            </w:r>
            <w:proofErr w:type="spellEnd"/>
            <w:r>
              <w:rPr>
                <w:sz w:val="20"/>
                <w:szCs w:val="20"/>
              </w:rPr>
              <w:t>-premises)</w:t>
            </w:r>
          </w:p>
        </w:tc>
        <w:tc>
          <w:tcPr>
            <w:tcW w:w="992" w:type="dxa"/>
            <w:tcMar>
              <w:top w:w="80" w:type="dxa"/>
              <w:left w:w="100" w:type="dxa"/>
              <w:bottom w:w="80" w:type="dxa"/>
              <w:right w:w="100" w:type="dxa"/>
            </w:tcMar>
          </w:tcPr>
          <w:p w14:paraId="74D0531B" w14:textId="77777777" w:rsidR="002E1FD6" w:rsidRPr="00E54F33" w:rsidRDefault="002E1FD6" w:rsidP="003A4183">
            <w:pPr>
              <w:jc w:val="center"/>
            </w:pPr>
            <w:r>
              <w:rPr>
                <w:sz w:val="20"/>
                <w:szCs w:val="20"/>
              </w:rPr>
              <w:t>11</w:t>
            </w:r>
          </w:p>
        </w:tc>
        <w:tc>
          <w:tcPr>
            <w:tcW w:w="1800" w:type="dxa"/>
            <w:tcMar>
              <w:top w:w="80" w:type="dxa"/>
              <w:left w:w="100" w:type="dxa"/>
              <w:bottom w:w="80" w:type="dxa"/>
              <w:right w:w="100" w:type="dxa"/>
            </w:tcMar>
          </w:tcPr>
          <w:p w14:paraId="77112CCA" w14:textId="77777777" w:rsidR="002E1FD6" w:rsidRPr="00E54F33" w:rsidRDefault="002E1FD6" w:rsidP="003A4183">
            <w:pPr>
              <w:jc w:val="center"/>
            </w:pPr>
            <w:r>
              <w:rPr>
                <w:sz w:val="20"/>
                <w:szCs w:val="20"/>
              </w:rPr>
              <w:t>40,7%</w:t>
            </w:r>
          </w:p>
        </w:tc>
      </w:tr>
      <w:tr w:rsidR="002E1FD6" w:rsidRPr="00E54F33" w14:paraId="32ED01C0" w14:textId="77777777" w:rsidTr="003A4183">
        <w:trPr>
          <w:jc w:val="center"/>
        </w:trPr>
        <w:tc>
          <w:tcPr>
            <w:tcW w:w="2972" w:type="dxa"/>
            <w:shd w:val="clear" w:color="auto" w:fill="EAF1F8"/>
            <w:tcMar>
              <w:top w:w="80" w:type="dxa"/>
              <w:left w:w="100" w:type="dxa"/>
              <w:bottom w:w="80" w:type="dxa"/>
              <w:right w:w="100" w:type="dxa"/>
            </w:tcMar>
          </w:tcPr>
          <w:p w14:paraId="62677C61" w14:textId="77777777" w:rsidR="002E1FD6" w:rsidRPr="00E54F33" w:rsidRDefault="002E1FD6" w:rsidP="003A4183">
            <w:r>
              <w:rPr>
                <w:sz w:val="20"/>
                <w:szCs w:val="20"/>
              </w:rPr>
              <w:t>Comodato (préstamo de terceros)</w:t>
            </w:r>
          </w:p>
        </w:tc>
        <w:tc>
          <w:tcPr>
            <w:tcW w:w="992" w:type="dxa"/>
            <w:shd w:val="clear" w:color="auto" w:fill="EAF1F8"/>
            <w:tcMar>
              <w:top w:w="80" w:type="dxa"/>
              <w:left w:w="100" w:type="dxa"/>
              <w:bottom w:w="80" w:type="dxa"/>
              <w:right w:w="100" w:type="dxa"/>
            </w:tcMar>
          </w:tcPr>
          <w:p w14:paraId="371B71B3" w14:textId="77777777" w:rsidR="002E1FD6" w:rsidRPr="00E54F33" w:rsidRDefault="002E1FD6" w:rsidP="003A4183">
            <w:pPr>
              <w:jc w:val="center"/>
            </w:pPr>
            <w:r>
              <w:rPr>
                <w:sz w:val="20"/>
                <w:szCs w:val="20"/>
              </w:rPr>
              <w:t>9</w:t>
            </w:r>
          </w:p>
        </w:tc>
        <w:tc>
          <w:tcPr>
            <w:tcW w:w="1800" w:type="dxa"/>
            <w:shd w:val="clear" w:color="auto" w:fill="EAF1F8"/>
            <w:tcMar>
              <w:top w:w="80" w:type="dxa"/>
              <w:left w:w="100" w:type="dxa"/>
              <w:bottom w:w="80" w:type="dxa"/>
              <w:right w:w="100" w:type="dxa"/>
            </w:tcMar>
          </w:tcPr>
          <w:p w14:paraId="32E5BF6A" w14:textId="77777777" w:rsidR="002E1FD6" w:rsidRPr="00E54F33" w:rsidRDefault="002E1FD6" w:rsidP="003A4183">
            <w:pPr>
              <w:jc w:val="center"/>
            </w:pPr>
            <w:r>
              <w:rPr>
                <w:sz w:val="20"/>
                <w:szCs w:val="20"/>
              </w:rPr>
              <w:t>33,3%</w:t>
            </w:r>
          </w:p>
        </w:tc>
      </w:tr>
      <w:tr w:rsidR="002E1FD6" w:rsidRPr="00E54F33" w14:paraId="50FB669B" w14:textId="77777777" w:rsidTr="003A4183">
        <w:trPr>
          <w:jc w:val="center"/>
        </w:trPr>
        <w:tc>
          <w:tcPr>
            <w:tcW w:w="2972" w:type="dxa"/>
            <w:tcMar>
              <w:top w:w="80" w:type="dxa"/>
              <w:left w:w="100" w:type="dxa"/>
              <w:bottom w:w="80" w:type="dxa"/>
              <w:right w:w="100" w:type="dxa"/>
            </w:tcMar>
          </w:tcPr>
          <w:p w14:paraId="4968FE16" w14:textId="77777777" w:rsidR="002E1FD6" w:rsidRPr="00E54F33" w:rsidRDefault="002E1FD6" w:rsidP="003A4183">
            <w:r>
              <w:rPr>
                <w:sz w:val="20"/>
                <w:szCs w:val="20"/>
              </w:rPr>
              <w:t>Plataforma como servicio</w:t>
            </w:r>
          </w:p>
        </w:tc>
        <w:tc>
          <w:tcPr>
            <w:tcW w:w="992" w:type="dxa"/>
            <w:tcMar>
              <w:top w:w="80" w:type="dxa"/>
              <w:left w:w="100" w:type="dxa"/>
              <w:bottom w:w="80" w:type="dxa"/>
              <w:right w:w="100" w:type="dxa"/>
            </w:tcMar>
          </w:tcPr>
          <w:p w14:paraId="5BE87BF0" w14:textId="77777777" w:rsidR="002E1FD6" w:rsidRPr="00E54F33" w:rsidRDefault="002E1FD6" w:rsidP="003A4183">
            <w:pPr>
              <w:jc w:val="center"/>
            </w:pPr>
            <w:r>
              <w:rPr>
                <w:sz w:val="20"/>
                <w:szCs w:val="20"/>
              </w:rPr>
              <w:t>5</w:t>
            </w:r>
          </w:p>
        </w:tc>
        <w:tc>
          <w:tcPr>
            <w:tcW w:w="1800" w:type="dxa"/>
            <w:tcMar>
              <w:top w:w="80" w:type="dxa"/>
              <w:left w:w="100" w:type="dxa"/>
              <w:bottom w:w="80" w:type="dxa"/>
              <w:right w:w="100" w:type="dxa"/>
            </w:tcMar>
          </w:tcPr>
          <w:p w14:paraId="00E7A040" w14:textId="77777777" w:rsidR="002E1FD6" w:rsidRPr="00E54F33" w:rsidRDefault="002E1FD6" w:rsidP="003A4183">
            <w:pPr>
              <w:jc w:val="center"/>
            </w:pPr>
            <w:r>
              <w:rPr>
                <w:sz w:val="20"/>
                <w:szCs w:val="20"/>
              </w:rPr>
              <w:t>18,5%</w:t>
            </w:r>
          </w:p>
        </w:tc>
      </w:tr>
      <w:tr w:rsidR="002E1FD6" w:rsidRPr="00E54F33" w14:paraId="054E4A88" w14:textId="77777777" w:rsidTr="003A4183">
        <w:trPr>
          <w:jc w:val="center"/>
        </w:trPr>
        <w:tc>
          <w:tcPr>
            <w:tcW w:w="2972" w:type="dxa"/>
            <w:shd w:val="clear" w:color="auto" w:fill="EAF1F8"/>
            <w:tcMar>
              <w:top w:w="80" w:type="dxa"/>
              <w:left w:w="100" w:type="dxa"/>
              <w:bottom w:w="80" w:type="dxa"/>
              <w:right w:w="100" w:type="dxa"/>
            </w:tcMar>
          </w:tcPr>
          <w:p w14:paraId="579C1A5B" w14:textId="77777777" w:rsidR="002E1FD6" w:rsidRPr="00E54F33" w:rsidRDefault="002E1FD6" w:rsidP="003A4183">
            <w:r>
              <w:rPr>
                <w:sz w:val="20"/>
                <w:szCs w:val="20"/>
              </w:rPr>
              <w:t>Infraestructura como servicio</w:t>
            </w:r>
          </w:p>
        </w:tc>
        <w:tc>
          <w:tcPr>
            <w:tcW w:w="992" w:type="dxa"/>
            <w:shd w:val="clear" w:color="auto" w:fill="EAF1F8"/>
            <w:tcMar>
              <w:top w:w="80" w:type="dxa"/>
              <w:left w:w="100" w:type="dxa"/>
              <w:bottom w:w="80" w:type="dxa"/>
              <w:right w:w="100" w:type="dxa"/>
            </w:tcMar>
          </w:tcPr>
          <w:p w14:paraId="1AABF665" w14:textId="77777777" w:rsidR="002E1FD6" w:rsidRPr="00E54F33" w:rsidRDefault="002E1FD6" w:rsidP="003A4183">
            <w:pPr>
              <w:jc w:val="center"/>
            </w:pPr>
            <w:r>
              <w:rPr>
                <w:sz w:val="20"/>
                <w:szCs w:val="20"/>
              </w:rPr>
              <w:t>2</w:t>
            </w:r>
          </w:p>
        </w:tc>
        <w:tc>
          <w:tcPr>
            <w:tcW w:w="1800" w:type="dxa"/>
            <w:shd w:val="clear" w:color="auto" w:fill="EAF1F8"/>
            <w:tcMar>
              <w:top w:w="80" w:type="dxa"/>
              <w:left w:w="100" w:type="dxa"/>
              <w:bottom w:w="80" w:type="dxa"/>
              <w:right w:w="100" w:type="dxa"/>
            </w:tcMar>
          </w:tcPr>
          <w:p w14:paraId="5218324B" w14:textId="77777777" w:rsidR="002E1FD6" w:rsidRPr="00E54F33" w:rsidRDefault="002E1FD6" w:rsidP="003A4183">
            <w:pPr>
              <w:jc w:val="center"/>
            </w:pPr>
            <w:r>
              <w:rPr>
                <w:sz w:val="20"/>
                <w:szCs w:val="20"/>
              </w:rPr>
              <w:t>7,4%</w:t>
            </w:r>
          </w:p>
        </w:tc>
      </w:tr>
    </w:tbl>
    <w:p w14:paraId="278DEA5F" w14:textId="77777777" w:rsidR="002E1FD6" w:rsidRPr="00E54F33" w:rsidRDefault="002E1FD6" w:rsidP="002E1FD6">
      <w:pPr>
        <w:spacing w:after="180" w:line="300" w:lineRule="auto"/>
        <w:jc w:val="both"/>
        <w:rPr>
          <w:rFonts w:ascii="Arial" w:eastAsia="Times New Roman" w:hAnsi="Arial" w:cs="Arial"/>
          <w:kern w:val="0"/>
          <w:lang w:eastAsia="es-CO"/>
          <w14:ligatures w14:val="none"/>
        </w:rPr>
      </w:pPr>
    </w:p>
    <w:p w14:paraId="0A650360" w14:textId="77777777" w:rsidR="002E1FD6" w:rsidRPr="00016465" w:rsidRDefault="002E1FD6" w:rsidP="002E1FD6">
      <w:pPr>
        <w:spacing w:after="180" w:line="300" w:lineRule="auto"/>
        <w:jc w:val="both"/>
        <w:rPr>
          <w:rFonts w:ascii="Arial" w:eastAsia="Times New Roman" w:hAnsi="Arial" w:cs="Arial"/>
          <w:kern w:val="0"/>
          <w:sz w:val="20"/>
          <w:szCs w:val="20"/>
          <w:lang w:eastAsia="es-CO"/>
          <w14:ligatures w14:val="none"/>
        </w:rPr>
      </w:pPr>
      <w:r>
        <w:rPr>
          <w:rFonts w:ascii="Arial" w:eastAsia="Times New Roman" w:hAnsi="Arial" w:cs="Arial"/>
          <w:kern w:val="0"/>
          <w:lang w:eastAsia="es-CO"/>
          <w14:ligatures w14:val="none"/>
        </w:rPr>
        <w:t xml:space="preserve">La totalidad de los puntos de acceso inalámbrico y uno de los switches de acceso a esa red </w:t>
      </w:r>
      <w:proofErr w:type="spellStart"/>
      <w:r>
        <w:rPr>
          <w:rFonts w:ascii="Arial" w:eastAsia="Times New Roman" w:hAnsi="Arial" w:cs="Arial"/>
          <w:kern w:val="0"/>
          <w:lang w:eastAsia="es-CO"/>
          <w14:ligatures w14:val="none"/>
        </w:rPr>
        <w:t>WiFi</w:t>
      </w:r>
      <w:proofErr w:type="spellEnd"/>
      <w:r>
        <w:rPr>
          <w:rFonts w:ascii="Arial" w:eastAsia="Times New Roman" w:hAnsi="Arial" w:cs="Arial"/>
          <w:kern w:val="0"/>
          <w:lang w:eastAsia="es-CO"/>
          <w14:ligatures w14:val="none"/>
        </w:rPr>
        <w:t xml:space="preserve"> están bajo comodato, es decir, no son propiedad de CREG sino de un proveedor externo. Esto significa que la disponibilidad de la red inalámbrica de la entidad depende contractualmente de un tercero, un dato relevante para la gestión del ciclo de vida de ese servicio.</w:t>
      </w:r>
    </w:p>
    <w:p w14:paraId="603F2A94" w14:textId="77777777" w:rsidR="002E1FD6" w:rsidRPr="00016465" w:rsidRDefault="002E1FD6" w:rsidP="002E1FD6">
      <w:pPr>
        <w:keepNext/>
        <w:keepLines/>
        <w:spacing w:before="280" w:after="120" w:line="240" w:lineRule="auto"/>
        <w:outlineLvl w:val="1"/>
        <w:rPr>
          <w:rFonts w:ascii="Arial" w:eastAsia="Times New Roman" w:hAnsi="Arial" w:cs="Arial"/>
          <w:color w:val="2E74B5"/>
          <w:kern w:val="0"/>
          <w:sz w:val="26"/>
          <w:szCs w:val="26"/>
          <w:lang w:eastAsia="es-CO"/>
          <w14:ligatures w14:val="none"/>
        </w:rPr>
      </w:pPr>
      <w:r>
        <w:rPr>
          <w:rFonts w:ascii="Arial" w:eastAsia="Times New Roman" w:hAnsi="Arial" w:cs="Arial"/>
          <w:b/>
          <w:bCs/>
          <w:color w:val="2E74B5"/>
          <w:kern w:val="0"/>
          <w:sz w:val="24"/>
          <w:szCs w:val="24"/>
          <w:lang w:eastAsia="es-CO"/>
          <w14:ligatures w14:val="none"/>
        </w:rPr>
        <w:t>Interdependencias y elementos críticos</w:t>
      </w:r>
    </w:p>
    <w:p w14:paraId="72514C26" w14:textId="77777777" w:rsidR="002E1FD6" w:rsidRPr="00016465" w:rsidRDefault="002E1FD6" w:rsidP="002E1FD6">
      <w:pPr>
        <w:spacing w:after="180" w:line="300" w:lineRule="auto"/>
        <w:jc w:val="both"/>
        <w:rPr>
          <w:rFonts w:ascii="Arial" w:eastAsia="Times New Roman" w:hAnsi="Arial" w:cs="Arial"/>
          <w:kern w:val="0"/>
          <w:sz w:val="20"/>
          <w:szCs w:val="20"/>
          <w:lang w:eastAsia="es-CO"/>
          <w14:ligatures w14:val="none"/>
        </w:rPr>
      </w:pPr>
      <w:r>
        <w:rPr>
          <w:rFonts w:ascii="Arial" w:eastAsia="Times New Roman" w:hAnsi="Arial" w:cs="Arial"/>
          <w:kern w:val="0"/>
          <w:lang w:eastAsia="es-CO"/>
          <w14:ligatures w14:val="none"/>
        </w:rPr>
        <w:t xml:space="preserve">El campo de elementos relacionados permite reconstruir la topología funcional del inventario. La red inalámbrica gira alrededor de un único switch controlador (INF_59), del cual dependen directamente los 8 puntos de acceso; ese mismo switch se conecta a los switches de acceso, que a su vez enlazan con los switches </w:t>
      </w:r>
      <w:proofErr w:type="spellStart"/>
      <w:r>
        <w:rPr>
          <w:rFonts w:ascii="Arial" w:eastAsia="Times New Roman" w:hAnsi="Arial" w:cs="Arial"/>
          <w:kern w:val="0"/>
          <w:lang w:eastAsia="es-CO"/>
          <w14:ligatures w14:val="none"/>
        </w:rPr>
        <w:t>core</w:t>
      </w:r>
      <w:proofErr w:type="spellEnd"/>
      <w:r>
        <w:rPr>
          <w:rFonts w:ascii="Arial" w:eastAsia="Times New Roman" w:hAnsi="Arial" w:cs="Arial"/>
          <w:kern w:val="0"/>
          <w:lang w:eastAsia="es-CO"/>
          <w14:ligatures w14:val="none"/>
        </w:rPr>
        <w:t xml:space="preserve"> y los dos firewalls en alta disponibilidad. Por el lado de datos, los cuatro servidores virtuales que alojan motores Oracle (INF_34 a INF_38) están interrelacionados entre sí en malla, y el clúster de tres </w:t>
      </w:r>
      <w:r>
        <w:rPr>
          <w:rFonts w:ascii="Arial" w:eastAsia="Times New Roman" w:hAnsi="Arial" w:cs="Arial"/>
          <w:kern w:val="0"/>
          <w:lang w:eastAsia="es-CO"/>
          <w14:ligatures w14:val="none"/>
        </w:rPr>
        <w:lastRenderedPageBreak/>
        <w:t xml:space="preserve">nodos de </w:t>
      </w:r>
      <w:proofErr w:type="spellStart"/>
      <w:r>
        <w:rPr>
          <w:rFonts w:ascii="Arial" w:eastAsia="Times New Roman" w:hAnsi="Arial" w:cs="Arial"/>
          <w:kern w:val="0"/>
          <w:lang w:eastAsia="es-CO"/>
          <w14:ligatures w14:val="none"/>
        </w:rPr>
        <w:t>hiperconvergencia</w:t>
      </w:r>
      <w:proofErr w:type="spellEnd"/>
      <w:r>
        <w:rPr>
          <w:rFonts w:ascii="Arial" w:eastAsia="Times New Roman" w:hAnsi="Arial" w:cs="Arial"/>
          <w:kern w:val="0"/>
          <w:lang w:eastAsia="es-CO"/>
          <w14:ligatures w14:val="none"/>
        </w:rPr>
        <w:t xml:space="preserve"> junto con el servidor de respaldo (Veeam) sostienen tanto la virtualización como la copia de seguridad de toda la plataforma en sitio.</w:t>
      </w:r>
    </w:p>
    <w:p w14:paraId="33E34C96" w14:textId="77777777" w:rsidR="002E1FD6" w:rsidRPr="00016465" w:rsidRDefault="002E1FD6" w:rsidP="002E1FD6">
      <w:pPr>
        <w:spacing w:after="180" w:line="300" w:lineRule="auto"/>
        <w:jc w:val="both"/>
        <w:rPr>
          <w:rFonts w:ascii="Arial" w:eastAsia="Times New Roman" w:hAnsi="Arial" w:cs="Arial"/>
          <w:kern w:val="0"/>
          <w:sz w:val="20"/>
          <w:szCs w:val="20"/>
          <w:lang w:eastAsia="es-CO"/>
          <w14:ligatures w14:val="none"/>
        </w:rPr>
      </w:pPr>
      <w:r>
        <w:rPr>
          <w:rFonts w:ascii="Arial" w:eastAsia="Times New Roman" w:hAnsi="Arial" w:cs="Arial"/>
          <w:kern w:val="0"/>
          <w:lang w:eastAsia="es-CO"/>
          <w14:ligatures w14:val="none"/>
        </w:rPr>
        <w:t>El sistema de información más impactado por el número de elementos físicos es el servicio de conectividad inalámbrica (</w:t>
      </w:r>
      <w:proofErr w:type="spellStart"/>
      <w:r>
        <w:rPr>
          <w:rFonts w:ascii="Arial" w:eastAsia="Times New Roman" w:hAnsi="Arial" w:cs="Arial"/>
          <w:kern w:val="0"/>
          <w:lang w:eastAsia="es-CO"/>
          <w14:ligatures w14:val="none"/>
        </w:rPr>
        <w:t>WiFi</w:t>
      </w:r>
      <w:proofErr w:type="spellEnd"/>
      <w:r>
        <w:rPr>
          <w:rFonts w:ascii="Arial" w:eastAsia="Times New Roman" w:hAnsi="Arial" w:cs="Arial"/>
          <w:kern w:val="0"/>
          <w:lang w:eastAsia="es-CO"/>
          <w14:ligatures w14:val="none"/>
        </w:rPr>
        <w:t>), con 9 elementos asociados, seguido por la base de datos CREG en Oracle (5 elementos) y la infraestructura de red y conectividad LAN (5 elementos). Esto confirma que la red inalámbrica y la base de datos misional son, en términos de infraestructura física, los dos componentes con mayor huella dentro del catálogo.</w:t>
      </w:r>
    </w:p>
    <w:p w14:paraId="31FDD6DB" w14:textId="77777777" w:rsidR="002E1FD6" w:rsidRPr="002E32C3" w:rsidRDefault="002E1FD6" w:rsidP="002E1FD6">
      <w:pPr>
        <w:keepNext/>
        <w:keepLines/>
        <w:jc w:val="both"/>
        <w:rPr>
          <w:rFonts w:ascii="Arial" w:hAnsi="Arial" w:cs="Arial"/>
          <w:b/>
          <w:bCs/>
          <w:sz w:val="24"/>
          <w:szCs w:val="24"/>
        </w:rPr>
      </w:pPr>
      <w:r>
        <w:rPr>
          <w:rFonts w:ascii="Arial" w:hAnsi="Arial" w:cs="Arial"/>
          <w:b/>
          <w:bCs/>
          <w:sz w:val="24"/>
          <w:szCs w:val="24"/>
        </w:rPr>
        <w:t>2.3 SERVICIO GEOLÓGICO COLOMBIANO (SGC).</w:t>
      </w:r>
    </w:p>
    <w:p w14:paraId="72286A85"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138B5DCA" w14:textId="77777777" w:rsidR="002E1FD6" w:rsidRPr="00E54F33" w:rsidRDefault="002E1FD6" w:rsidP="002E1FD6">
      <w:pPr>
        <w:jc w:val="both"/>
        <w:rPr>
          <w:rFonts w:ascii="Arial" w:hAnsi="Arial" w:cs="Arial"/>
        </w:rPr>
      </w:pPr>
      <w:r>
        <w:rPr>
          <w:rFonts w:ascii="Arial" w:hAnsi="Arial" w:cs="Arial"/>
        </w:rPr>
        <w:t>El catálogo entregado por el SGC – Servicio Geológico Colombiano – contiene 2.824 registros de elementos de infraestructura tecnológica, todos identificados bajo el prefijo EIT-SGC; Del total de elementos, 2.820 figuran en estado ACTIVO (99.86%) y 4 en estado INACTIVO (0,14%).</w:t>
      </w:r>
    </w:p>
    <w:p w14:paraId="6499D065" w14:textId="77777777" w:rsidR="002E1FD6" w:rsidRPr="00E54F33" w:rsidRDefault="002E1FD6" w:rsidP="002E1FD6">
      <w:pPr>
        <w:jc w:val="both"/>
        <w:rPr>
          <w:rFonts w:ascii="Arial" w:hAnsi="Arial" w:cs="Arial"/>
        </w:rPr>
      </w:pPr>
      <w:r>
        <w:rPr>
          <w:rFonts w:ascii="Arial" w:hAnsi="Arial" w:cs="Arial"/>
        </w:rPr>
        <w:t xml:space="preserve">La entidad muestra una infraestructura de tamaño mediano-alto, con fuerte peso en puesto de trabajo (1.413 computadores entre personales y </w:t>
      </w:r>
      <w:proofErr w:type="spellStart"/>
      <w:r>
        <w:rPr>
          <w:rFonts w:ascii="Arial" w:hAnsi="Arial" w:cs="Arial"/>
        </w:rPr>
        <w:t>workstations</w:t>
      </w:r>
      <w:proofErr w:type="spellEnd"/>
      <w:r>
        <w:rPr>
          <w:rFonts w:ascii="Arial" w:hAnsi="Arial" w:cs="Arial"/>
        </w:rPr>
        <w:t xml:space="preserve">, el 50% del inventario), una base de 594 servidores con virtualización dominante (90% virtuales sobre VMware, 10% físicos), 211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303 teléfonos IP, y una capa de soporte físico de centro de datos relevante (98 sistemas de control de temperatura, 75 UPS y 15 plantas eléctricas), consistente con una operación </w:t>
      </w:r>
      <w:proofErr w:type="spellStart"/>
      <w:r>
        <w:rPr>
          <w:rFonts w:ascii="Arial" w:hAnsi="Arial" w:cs="Arial"/>
        </w:rPr>
        <w:t>multisede</w:t>
      </w:r>
      <w:proofErr w:type="spellEnd"/>
      <w:r>
        <w:rPr>
          <w:rFonts w:ascii="Arial" w:hAnsi="Arial" w:cs="Arial"/>
        </w:rPr>
        <w:t xml:space="preserve"> que incluye Bogotá, Cali, Popayán, Bucaramanga y sedes regionales adicionales.</w:t>
      </w:r>
    </w:p>
    <w:p w14:paraId="7BDC8D80" w14:textId="77777777" w:rsidR="002E1FD6" w:rsidRPr="00E54F33" w:rsidRDefault="002E1FD6" w:rsidP="002E1FD6">
      <w:pPr>
        <w:jc w:val="both"/>
        <w:rPr>
          <w:rFonts w:ascii="Arial" w:hAnsi="Arial" w:cs="Arial"/>
        </w:rPr>
      </w:pPr>
      <w:r>
        <w:rPr>
          <w:rFonts w:ascii="Arial" w:hAnsi="Arial" w:cs="Arial"/>
        </w:rPr>
        <w:t xml:space="preserve">El tipo de elemento más frecuente es, por lejos, el computador personal: 1.225 equipos de escritorio más 188 </w:t>
      </w:r>
      <w:proofErr w:type="spellStart"/>
      <w:r>
        <w:rPr>
          <w:rFonts w:ascii="Arial" w:hAnsi="Arial" w:cs="Arial"/>
        </w:rPr>
        <w:t>workstations</w:t>
      </w:r>
      <w:proofErr w:type="spellEnd"/>
      <w:r>
        <w:rPr>
          <w:rFonts w:ascii="Arial" w:hAnsi="Arial" w:cs="Arial"/>
        </w:rPr>
        <w:t xml:space="preserve"> suman 1.413 registros, el 50% del catálogo. Le siguen los servidores Linux sobre VMware (310), teléfonos IP (303) y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(211).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56"/>
        <w:gridCol w:w="1134"/>
        <w:gridCol w:w="1559"/>
      </w:tblGrid>
      <w:tr w:rsidR="002E1FD6" w:rsidRPr="00E54F33" w14:paraId="555F1B6A" w14:textId="77777777" w:rsidTr="003A4183">
        <w:trPr>
          <w:tblHeader/>
          <w:jc w:val="center"/>
        </w:trPr>
        <w:tc>
          <w:tcPr>
            <w:tcW w:w="3256" w:type="dxa"/>
            <w:shd w:val="clear" w:color="auto" w:fill="1F3864"/>
            <w:tcMar>
              <w:top w:w="80" w:type="dxa"/>
              <w:left w:w="100" w:type="dxa"/>
              <w:bottom w:w="80" w:type="dxa"/>
              <w:right w:w="100" w:type="dxa"/>
            </w:tcMar>
          </w:tcPr>
          <w:p w14:paraId="572D6D65" w14:textId="77777777" w:rsidR="002E1FD6" w:rsidRPr="00E54F33" w:rsidRDefault="002E1FD6" w:rsidP="003A4183">
            <w:r>
              <w:rPr>
                <w:b/>
                <w:bCs/>
                <w:color w:val="FFFFFF"/>
                <w:sz w:val="20"/>
                <w:szCs w:val="20"/>
              </w:rPr>
              <w:t>Tipo de elemento</w:t>
            </w:r>
          </w:p>
        </w:tc>
        <w:tc>
          <w:tcPr>
            <w:tcW w:w="1134" w:type="dxa"/>
            <w:shd w:val="clear" w:color="auto" w:fill="1F3864"/>
            <w:tcMar>
              <w:top w:w="80" w:type="dxa"/>
              <w:left w:w="100" w:type="dxa"/>
              <w:bottom w:w="80" w:type="dxa"/>
              <w:right w:w="100" w:type="dxa"/>
            </w:tcMar>
          </w:tcPr>
          <w:p w14:paraId="04CAAC50" w14:textId="77777777" w:rsidR="002E1FD6" w:rsidRPr="00E54F33" w:rsidRDefault="002E1FD6" w:rsidP="003A4183">
            <w:r>
              <w:rPr>
                <w:b/>
                <w:bCs/>
                <w:color w:val="FFFFFF"/>
                <w:sz w:val="20"/>
                <w:szCs w:val="20"/>
              </w:rPr>
              <w:t>Cantidad</w:t>
            </w:r>
          </w:p>
        </w:tc>
        <w:tc>
          <w:tcPr>
            <w:tcW w:w="1559" w:type="dxa"/>
            <w:shd w:val="clear" w:color="auto" w:fill="1F3864"/>
            <w:tcMar>
              <w:top w:w="80" w:type="dxa"/>
              <w:left w:w="100" w:type="dxa"/>
              <w:bottom w:w="80" w:type="dxa"/>
              <w:right w:w="100" w:type="dxa"/>
            </w:tcMar>
          </w:tcPr>
          <w:p w14:paraId="6E412CC3" w14:textId="77777777" w:rsidR="002E1FD6" w:rsidRPr="00E54F33" w:rsidRDefault="002E1FD6" w:rsidP="003A4183">
            <w:r>
              <w:rPr>
                <w:b/>
                <w:bCs/>
                <w:color w:val="FFFFFF"/>
                <w:sz w:val="20"/>
                <w:szCs w:val="20"/>
              </w:rPr>
              <w:t>% del total</w:t>
            </w:r>
          </w:p>
        </w:tc>
      </w:tr>
      <w:tr w:rsidR="002E1FD6" w:rsidRPr="00E54F33" w14:paraId="78B2A1AE" w14:textId="77777777" w:rsidTr="003A4183">
        <w:trPr>
          <w:jc w:val="center"/>
        </w:trPr>
        <w:tc>
          <w:tcPr>
            <w:tcW w:w="3256" w:type="dxa"/>
            <w:tcMar>
              <w:top w:w="80" w:type="dxa"/>
              <w:left w:w="100" w:type="dxa"/>
              <w:bottom w:w="80" w:type="dxa"/>
              <w:right w:w="100" w:type="dxa"/>
            </w:tcMar>
          </w:tcPr>
          <w:p w14:paraId="3CABA4F9" w14:textId="77777777" w:rsidR="002E1FD6" w:rsidRPr="00E54F33" w:rsidRDefault="002E1FD6" w:rsidP="003A4183">
            <w:r>
              <w:rPr>
                <w:color w:val="1A1A1A"/>
                <w:sz w:val="20"/>
                <w:szCs w:val="20"/>
              </w:rPr>
              <w:t>Computador personal</w:t>
            </w:r>
          </w:p>
        </w:tc>
        <w:tc>
          <w:tcPr>
            <w:tcW w:w="1134" w:type="dxa"/>
            <w:tcMar>
              <w:top w:w="80" w:type="dxa"/>
              <w:left w:w="100" w:type="dxa"/>
              <w:bottom w:w="80" w:type="dxa"/>
              <w:right w:w="100" w:type="dxa"/>
            </w:tcMar>
          </w:tcPr>
          <w:p w14:paraId="1FE4BAC7" w14:textId="77777777" w:rsidR="002E1FD6" w:rsidRPr="00E54F33" w:rsidRDefault="002E1FD6" w:rsidP="003A4183">
            <w:r>
              <w:rPr>
                <w:color w:val="1A1A1A"/>
                <w:sz w:val="20"/>
                <w:szCs w:val="20"/>
              </w:rPr>
              <w:t>1.225</w:t>
            </w:r>
          </w:p>
        </w:tc>
        <w:tc>
          <w:tcPr>
            <w:tcW w:w="1559" w:type="dxa"/>
            <w:tcMar>
              <w:top w:w="80" w:type="dxa"/>
              <w:left w:w="100" w:type="dxa"/>
              <w:bottom w:w="80" w:type="dxa"/>
              <w:right w:w="100" w:type="dxa"/>
            </w:tcMar>
          </w:tcPr>
          <w:p w14:paraId="24DE215D" w14:textId="77777777" w:rsidR="002E1FD6" w:rsidRPr="00E54F33" w:rsidRDefault="002E1FD6" w:rsidP="003A4183">
            <w:pPr>
              <w:jc w:val="center"/>
            </w:pPr>
            <w:r>
              <w:rPr>
                <w:color w:val="1A1A1A"/>
                <w:sz w:val="20"/>
                <w:szCs w:val="20"/>
              </w:rPr>
              <w:t>43,4%</w:t>
            </w:r>
          </w:p>
        </w:tc>
      </w:tr>
      <w:tr w:rsidR="002E1FD6" w:rsidRPr="00E54F33" w14:paraId="66BD602B" w14:textId="77777777" w:rsidTr="003A4183">
        <w:trPr>
          <w:jc w:val="center"/>
        </w:trPr>
        <w:tc>
          <w:tcPr>
            <w:tcW w:w="3256" w:type="dxa"/>
            <w:tcMar>
              <w:top w:w="80" w:type="dxa"/>
              <w:left w:w="100" w:type="dxa"/>
              <w:bottom w:w="80" w:type="dxa"/>
              <w:right w:w="100" w:type="dxa"/>
            </w:tcMar>
          </w:tcPr>
          <w:p w14:paraId="77F1998D" w14:textId="77777777" w:rsidR="002E1FD6" w:rsidRPr="00E54F33" w:rsidRDefault="002E1FD6" w:rsidP="003A4183">
            <w:r>
              <w:rPr>
                <w:color w:val="1A1A1A"/>
                <w:sz w:val="20"/>
                <w:szCs w:val="20"/>
              </w:rPr>
              <w:t>Servidor Linux VMware</w:t>
            </w:r>
          </w:p>
        </w:tc>
        <w:tc>
          <w:tcPr>
            <w:tcW w:w="1134" w:type="dxa"/>
            <w:tcMar>
              <w:top w:w="80" w:type="dxa"/>
              <w:left w:w="100" w:type="dxa"/>
              <w:bottom w:w="80" w:type="dxa"/>
              <w:right w:w="100" w:type="dxa"/>
            </w:tcMar>
          </w:tcPr>
          <w:p w14:paraId="0A9CB47B" w14:textId="77777777" w:rsidR="002E1FD6" w:rsidRPr="00E54F33" w:rsidRDefault="002E1FD6" w:rsidP="003A4183">
            <w:r>
              <w:rPr>
                <w:color w:val="1A1A1A"/>
                <w:sz w:val="20"/>
                <w:szCs w:val="20"/>
              </w:rPr>
              <w:t>310</w:t>
            </w:r>
          </w:p>
        </w:tc>
        <w:tc>
          <w:tcPr>
            <w:tcW w:w="1559" w:type="dxa"/>
            <w:tcMar>
              <w:top w:w="80" w:type="dxa"/>
              <w:left w:w="100" w:type="dxa"/>
              <w:bottom w:w="80" w:type="dxa"/>
              <w:right w:w="100" w:type="dxa"/>
            </w:tcMar>
          </w:tcPr>
          <w:p w14:paraId="38C488B5" w14:textId="77777777" w:rsidR="002E1FD6" w:rsidRPr="00E54F33" w:rsidRDefault="002E1FD6" w:rsidP="003A4183">
            <w:pPr>
              <w:jc w:val="center"/>
            </w:pPr>
            <w:r>
              <w:rPr>
                <w:color w:val="1A1A1A"/>
                <w:sz w:val="20"/>
                <w:szCs w:val="20"/>
              </w:rPr>
              <w:t>11,0%</w:t>
            </w:r>
          </w:p>
        </w:tc>
      </w:tr>
      <w:tr w:rsidR="002E1FD6" w:rsidRPr="00E54F33" w14:paraId="744527C7" w14:textId="77777777" w:rsidTr="003A4183">
        <w:trPr>
          <w:jc w:val="center"/>
        </w:trPr>
        <w:tc>
          <w:tcPr>
            <w:tcW w:w="3256" w:type="dxa"/>
            <w:tcMar>
              <w:top w:w="80" w:type="dxa"/>
              <w:left w:w="100" w:type="dxa"/>
              <w:bottom w:w="80" w:type="dxa"/>
              <w:right w:w="100" w:type="dxa"/>
            </w:tcMar>
          </w:tcPr>
          <w:p w14:paraId="0A1F385A" w14:textId="77777777" w:rsidR="002E1FD6" w:rsidRPr="00E54F33" w:rsidRDefault="002E1FD6" w:rsidP="003A4183">
            <w:r>
              <w:rPr>
                <w:color w:val="1A1A1A"/>
                <w:sz w:val="20"/>
                <w:szCs w:val="20"/>
              </w:rPr>
              <w:t>Teléfono IP</w:t>
            </w:r>
          </w:p>
        </w:tc>
        <w:tc>
          <w:tcPr>
            <w:tcW w:w="1134" w:type="dxa"/>
            <w:tcMar>
              <w:top w:w="80" w:type="dxa"/>
              <w:left w:w="100" w:type="dxa"/>
              <w:bottom w:w="80" w:type="dxa"/>
              <w:right w:w="100" w:type="dxa"/>
            </w:tcMar>
          </w:tcPr>
          <w:p w14:paraId="6AC1894B" w14:textId="77777777" w:rsidR="002E1FD6" w:rsidRPr="00E54F33" w:rsidRDefault="002E1FD6" w:rsidP="003A4183">
            <w:r>
              <w:rPr>
                <w:color w:val="1A1A1A"/>
                <w:sz w:val="20"/>
                <w:szCs w:val="20"/>
              </w:rPr>
              <w:t>303</w:t>
            </w:r>
          </w:p>
        </w:tc>
        <w:tc>
          <w:tcPr>
            <w:tcW w:w="1559" w:type="dxa"/>
            <w:tcMar>
              <w:top w:w="80" w:type="dxa"/>
              <w:left w:w="100" w:type="dxa"/>
              <w:bottom w:w="80" w:type="dxa"/>
              <w:right w:w="100" w:type="dxa"/>
            </w:tcMar>
          </w:tcPr>
          <w:p w14:paraId="1DBCEFB8" w14:textId="77777777" w:rsidR="002E1FD6" w:rsidRPr="00E54F33" w:rsidRDefault="002E1FD6" w:rsidP="003A4183">
            <w:pPr>
              <w:jc w:val="center"/>
            </w:pPr>
            <w:r>
              <w:rPr>
                <w:color w:val="1A1A1A"/>
                <w:sz w:val="20"/>
                <w:szCs w:val="20"/>
              </w:rPr>
              <w:t>10,7%</w:t>
            </w:r>
          </w:p>
        </w:tc>
      </w:tr>
      <w:tr w:rsidR="002E1FD6" w:rsidRPr="00E54F33" w14:paraId="4AB6C0C0" w14:textId="77777777" w:rsidTr="003A4183">
        <w:trPr>
          <w:jc w:val="center"/>
        </w:trPr>
        <w:tc>
          <w:tcPr>
            <w:tcW w:w="3256" w:type="dxa"/>
            <w:tcMar>
              <w:top w:w="80" w:type="dxa"/>
              <w:left w:w="100" w:type="dxa"/>
              <w:bottom w:w="80" w:type="dxa"/>
              <w:right w:w="100" w:type="dxa"/>
            </w:tcMar>
          </w:tcPr>
          <w:p w14:paraId="1C13F781" w14:textId="77777777" w:rsidR="002E1FD6" w:rsidRPr="00E54F33" w:rsidRDefault="002E1FD6" w:rsidP="003A4183">
            <w:r>
              <w:rPr>
                <w:color w:val="1A1A1A"/>
                <w:sz w:val="20"/>
                <w:szCs w:val="20"/>
              </w:rPr>
              <w:t xml:space="preserve">Access </w:t>
            </w:r>
            <w:proofErr w:type="spellStart"/>
            <w:r>
              <w:rPr>
                <w:color w:val="1A1A1A"/>
                <w:sz w:val="20"/>
                <w:szCs w:val="20"/>
              </w:rPr>
              <w:t>point</w:t>
            </w:r>
            <w:proofErr w:type="spellEnd"/>
          </w:p>
        </w:tc>
        <w:tc>
          <w:tcPr>
            <w:tcW w:w="1134" w:type="dxa"/>
            <w:tcMar>
              <w:top w:w="80" w:type="dxa"/>
              <w:left w:w="100" w:type="dxa"/>
              <w:bottom w:w="80" w:type="dxa"/>
              <w:right w:w="100" w:type="dxa"/>
            </w:tcMar>
          </w:tcPr>
          <w:p w14:paraId="450ACD3B" w14:textId="77777777" w:rsidR="002E1FD6" w:rsidRPr="00E54F33" w:rsidRDefault="002E1FD6" w:rsidP="003A4183">
            <w:r>
              <w:rPr>
                <w:color w:val="1A1A1A"/>
                <w:sz w:val="20"/>
                <w:szCs w:val="20"/>
              </w:rPr>
              <w:t>211</w:t>
            </w:r>
          </w:p>
        </w:tc>
        <w:tc>
          <w:tcPr>
            <w:tcW w:w="1559" w:type="dxa"/>
            <w:tcMar>
              <w:top w:w="80" w:type="dxa"/>
              <w:left w:w="100" w:type="dxa"/>
              <w:bottom w:w="80" w:type="dxa"/>
              <w:right w:w="100" w:type="dxa"/>
            </w:tcMar>
          </w:tcPr>
          <w:p w14:paraId="4A702135" w14:textId="77777777" w:rsidR="002E1FD6" w:rsidRPr="00E54F33" w:rsidRDefault="002E1FD6" w:rsidP="003A4183">
            <w:pPr>
              <w:jc w:val="center"/>
            </w:pPr>
            <w:r>
              <w:rPr>
                <w:color w:val="1A1A1A"/>
                <w:sz w:val="20"/>
                <w:szCs w:val="20"/>
              </w:rPr>
              <w:t>7,5%</w:t>
            </w:r>
          </w:p>
        </w:tc>
      </w:tr>
      <w:tr w:rsidR="002E1FD6" w:rsidRPr="00E54F33" w14:paraId="6F7CE047" w14:textId="77777777" w:rsidTr="003A4183">
        <w:trPr>
          <w:jc w:val="center"/>
        </w:trPr>
        <w:tc>
          <w:tcPr>
            <w:tcW w:w="3256" w:type="dxa"/>
            <w:tcMar>
              <w:top w:w="80" w:type="dxa"/>
              <w:left w:w="100" w:type="dxa"/>
              <w:bottom w:w="80" w:type="dxa"/>
              <w:right w:w="100" w:type="dxa"/>
            </w:tcMar>
          </w:tcPr>
          <w:p w14:paraId="600D5F10" w14:textId="77777777" w:rsidR="002E1FD6" w:rsidRPr="00E54F33" w:rsidRDefault="002E1FD6" w:rsidP="003A4183">
            <w:r>
              <w:rPr>
                <w:color w:val="1A1A1A"/>
                <w:sz w:val="20"/>
                <w:szCs w:val="20"/>
              </w:rPr>
              <w:t xml:space="preserve">Computador personal – </w:t>
            </w:r>
            <w:proofErr w:type="spellStart"/>
            <w:r>
              <w:rPr>
                <w:color w:val="1A1A1A"/>
                <w:sz w:val="20"/>
                <w:szCs w:val="20"/>
              </w:rPr>
              <w:t>workstation</w:t>
            </w:r>
            <w:proofErr w:type="spellEnd"/>
          </w:p>
        </w:tc>
        <w:tc>
          <w:tcPr>
            <w:tcW w:w="1134" w:type="dxa"/>
            <w:tcMar>
              <w:top w:w="80" w:type="dxa"/>
              <w:left w:w="100" w:type="dxa"/>
              <w:bottom w:w="80" w:type="dxa"/>
              <w:right w:w="100" w:type="dxa"/>
            </w:tcMar>
          </w:tcPr>
          <w:p w14:paraId="7C04D66E" w14:textId="77777777" w:rsidR="002E1FD6" w:rsidRPr="00E54F33" w:rsidRDefault="002E1FD6" w:rsidP="003A4183">
            <w:r>
              <w:rPr>
                <w:color w:val="1A1A1A"/>
                <w:sz w:val="20"/>
                <w:szCs w:val="20"/>
              </w:rPr>
              <w:t>188</w:t>
            </w:r>
          </w:p>
        </w:tc>
        <w:tc>
          <w:tcPr>
            <w:tcW w:w="1559" w:type="dxa"/>
            <w:tcMar>
              <w:top w:w="80" w:type="dxa"/>
              <w:left w:w="100" w:type="dxa"/>
              <w:bottom w:w="80" w:type="dxa"/>
              <w:right w:w="100" w:type="dxa"/>
            </w:tcMar>
          </w:tcPr>
          <w:p w14:paraId="60A33032" w14:textId="77777777" w:rsidR="002E1FD6" w:rsidRPr="00E54F33" w:rsidRDefault="002E1FD6" w:rsidP="003A4183">
            <w:pPr>
              <w:jc w:val="center"/>
            </w:pPr>
            <w:r>
              <w:rPr>
                <w:color w:val="1A1A1A"/>
                <w:sz w:val="20"/>
                <w:szCs w:val="20"/>
              </w:rPr>
              <w:t>6,7%</w:t>
            </w:r>
          </w:p>
        </w:tc>
      </w:tr>
      <w:tr w:rsidR="002E1FD6" w:rsidRPr="00E54F33" w14:paraId="326965DA" w14:textId="77777777" w:rsidTr="003A4183">
        <w:trPr>
          <w:jc w:val="center"/>
        </w:trPr>
        <w:tc>
          <w:tcPr>
            <w:tcW w:w="3256" w:type="dxa"/>
            <w:tcMar>
              <w:top w:w="80" w:type="dxa"/>
              <w:left w:w="100" w:type="dxa"/>
              <w:bottom w:w="80" w:type="dxa"/>
              <w:right w:w="100" w:type="dxa"/>
            </w:tcMar>
          </w:tcPr>
          <w:p w14:paraId="24B4F623" w14:textId="77777777" w:rsidR="002E1FD6" w:rsidRPr="00E54F33" w:rsidRDefault="002E1FD6" w:rsidP="003A4183">
            <w:r>
              <w:rPr>
                <w:color w:val="1A1A1A"/>
                <w:sz w:val="20"/>
                <w:szCs w:val="20"/>
              </w:rPr>
              <w:lastRenderedPageBreak/>
              <w:t>Servidor Windows VMware</w:t>
            </w:r>
          </w:p>
        </w:tc>
        <w:tc>
          <w:tcPr>
            <w:tcW w:w="1134" w:type="dxa"/>
            <w:tcMar>
              <w:top w:w="80" w:type="dxa"/>
              <w:left w:w="100" w:type="dxa"/>
              <w:bottom w:w="80" w:type="dxa"/>
              <w:right w:w="100" w:type="dxa"/>
            </w:tcMar>
          </w:tcPr>
          <w:p w14:paraId="4D535762" w14:textId="77777777" w:rsidR="002E1FD6" w:rsidRPr="00E54F33" w:rsidRDefault="002E1FD6" w:rsidP="003A4183">
            <w:r>
              <w:rPr>
                <w:color w:val="1A1A1A"/>
                <w:sz w:val="20"/>
                <w:szCs w:val="20"/>
              </w:rPr>
              <w:t>156</w:t>
            </w:r>
          </w:p>
        </w:tc>
        <w:tc>
          <w:tcPr>
            <w:tcW w:w="1559" w:type="dxa"/>
            <w:tcMar>
              <w:top w:w="80" w:type="dxa"/>
              <w:left w:w="100" w:type="dxa"/>
              <w:bottom w:w="80" w:type="dxa"/>
              <w:right w:w="100" w:type="dxa"/>
            </w:tcMar>
          </w:tcPr>
          <w:p w14:paraId="114C2D0F" w14:textId="77777777" w:rsidR="002E1FD6" w:rsidRPr="00E54F33" w:rsidRDefault="002E1FD6" w:rsidP="003A4183">
            <w:pPr>
              <w:jc w:val="center"/>
            </w:pPr>
            <w:r>
              <w:rPr>
                <w:color w:val="1A1A1A"/>
                <w:sz w:val="20"/>
                <w:szCs w:val="20"/>
              </w:rPr>
              <w:t>5,5%</w:t>
            </w:r>
          </w:p>
        </w:tc>
      </w:tr>
      <w:tr w:rsidR="002E1FD6" w:rsidRPr="00E54F33" w14:paraId="475ABC02" w14:textId="77777777" w:rsidTr="003A4183">
        <w:trPr>
          <w:jc w:val="center"/>
        </w:trPr>
        <w:tc>
          <w:tcPr>
            <w:tcW w:w="3256" w:type="dxa"/>
            <w:tcMar>
              <w:top w:w="80" w:type="dxa"/>
              <w:left w:w="100" w:type="dxa"/>
              <w:bottom w:w="80" w:type="dxa"/>
              <w:right w:w="100" w:type="dxa"/>
            </w:tcMar>
          </w:tcPr>
          <w:p w14:paraId="10752807" w14:textId="77777777" w:rsidR="002E1FD6" w:rsidRPr="00E54F33" w:rsidRDefault="002E1FD6" w:rsidP="003A4183">
            <w:r>
              <w:rPr>
                <w:color w:val="1A1A1A"/>
                <w:sz w:val="20"/>
                <w:szCs w:val="20"/>
              </w:rPr>
              <w:t>Sistema de control de temperatura</w:t>
            </w:r>
          </w:p>
        </w:tc>
        <w:tc>
          <w:tcPr>
            <w:tcW w:w="1134" w:type="dxa"/>
            <w:tcMar>
              <w:top w:w="80" w:type="dxa"/>
              <w:left w:w="100" w:type="dxa"/>
              <w:bottom w:w="80" w:type="dxa"/>
              <w:right w:w="100" w:type="dxa"/>
            </w:tcMar>
          </w:tcPr>
          <w:p w14:paraId="798D411F" w14:textId="77777777" w:rsidR="002E1FD6" w:rsidRPr="00E54F33" w:rsidRDefault="002E1FD6" w:rsidP="003A4183">
            <w:r>
              <w:rPr>
                <w:color w:val="1A1A1A"/>
                <w:sz w:val="20"/>
                <w:szCs w:val="20"/>
              </w:rPr>
              <w:t>98</w:t>
            </w:r>
          </w:p>
        </w:tc>
        <w:tc>
          <w:tcPr>
            <w:tcW w:w="1559" w:type="dxa"/>
            <w:tcMar>
              <w:top w:w="80" w:type="dxa"/>
              <w:left w:w="100" w:type="dxa"/>
              <w:bottom w:w="80" w:type="dxa"/>
              <w:right w:w="100" w:type="dxa"/>
            </w:tcMar>
          </w:tcPr>
          <w:p w14:paraId="3B084563" w14:textId="77777777" w:rsidR="002E1FD6" w:rsidRPr="00E54F33" w:rsidRDefault="002E1FD6" w:rsidP="003A4183">
            <w:pPr>
              <w:jc w:val="center"/>
            </w:pPr>
            <w:r>
              <w:rPr>
                <w:color w:val="1A1A1A"/>
                <w:sz w:val="20"/>
                <w:szCs w:val="20"/>
              </w:rPr>
              <w:t>3,5%</w:t>
            </w:r>
          </w:p>
        </w:tc>
      </w:tr>
      <w:tr w:rsidR="002E1FD6" w:rsidRPr="00E54F33" w14:paraId="0D8BA123" w14:textId="77777777" w:rsidTr="003A4183">
        <w:trPr>
          <w:jc w:val="center"/>
        </w:trPr>
        <w:tc>
          <w:tcPr>
            <w:tcW w:w="3256" w:type="dxa"/>
            <w:tcMar>
              <w:top w:w="80" w:type="dxa"/>
              <w:left w:w="100" w:type="dxa"/>
              <w:bottom w:w="80" w:type="dxa"/>
              <w:right w:w="100" w:type="dxa"/>
            </w:tcMar>
          </w:tcPr>
          <w:p w14:paraId="7EEB78C8" w14:textId="77777777" w:rsidR="002E1FD6" w:rsidRPr="00E54F33" w:rsidRDefault="002E1FD6" w:rsidP="003A4183">
            <w:r>
              <w:rPr>
                <w:color w:val="1A1A1A"/>
                <w:sz w:val="20"/>
                <w:szCs w:val="20"/>
              </w:rPr>
              <w:t>UPS</w:t>
            </w:r>
          </w:p>
        </w:tc>
        <w:tc>
          <w:tcPr>
            <w:tcW w:w="1134" w:type="dxa"/>
            <w:tcMar>
              <w:top w:w="80" w:type="dxa"/>
              <w:left w:w="100" w:type="dxa"/>
              <w:bottom w:w="80" w:type="dxa"/>
              <w:right w:w="100" w:type="dxa"/>
            </w:tcMar>
          </w:tcPr>
          <w:p w14:paraId="2A858B9D" w14:textId="77777777" w:rsidR="002E1FD6" w:rsidRPr="00E54F33" w:rsidRDefault="002E1FD6" w:rsidP="003A4183">
            <w:r>
              <w:rPr>
                <w:color w:val="1A1A1A"/>
                <w:sz w:val="20"/>
                <w:szCs w:val="20"/>
              </w:rPr>
              <w:t>75</w:t>
            </w:r>
          </w:p>
        </w:tc>
        <w:tc>
          <w:tcPr>
            <w:tcW w:w="1559" w:type="dxa"/>
            <w:tcMar>
              <w:top w:w="80" w:type="dxa"/>
              <w:left w:w="100" w:type="dxa"/>
              <w:bottom w:w="80" w:type="dxa"/>
              <w:right w:w="100" w:type="dxa"/>
            </w:tcMar>
          </w:tcPr>
          <w:p w14:paraId="6049E2B8" w14:textId="77777777" w:rsidR="002E1FD6" w:rsidRPr="00E54F33" w:rsidRDefault="002E1FD6" w:rsidP="003A4183">
            <w:pPr>
              <w:jc w:val="center"/>
            </w:pPr>
            <w:r>
              <w:rPr>
                <w:color w:val="1A1A1A"/>
                <w:sz w:val="20"/>
                <w:szCs w:val="20"/>
              </w:rPr>
              <w:t>2,7%</w:t>
            </w:r>
          </w:p>
        </w:tc>
      </w:tr>
      <w:tr w:rsidR="002E1FD6" w:rsidRPr="00E54F33" w14:paraId="0B96A5E7" w14:textId="77777777" w:rsidTr="003A4183">
        <w:trPr>
          <w:jc w:val="center"/>
        </w:trPr>
        <w:tc>
          <w:tcPr>
            <w:tcW w:w="3256" w:type="dxa"/>
            <w:tcMar>
              <w:top w:w="80" w:type="dxa"/>
              <w:left w:w="100" w:type="dxa"/>
              <w:bottom w:w="80" w:type="dxa"/>
              <w:right w:w="100" w:type="dxa"/>
            </w:tcMar>
          </w:tcPr>
          <w:p w14:paraId="40B16B98" w14:textId="77777777" w:rsidR="002E1FD6" w:rsidRPr="00E54F33" w:rsidRDefault="002E1FD6" w:rsidP="003A4183">
            <w:r>
              <w:rPr>
                <w:color w:val="1A1A1A"/>
                <w:sz w:val="20"/>
                <w:szCs w:val="20"/>
              </w:rPr>
              <w:t>Servidor Linux físico</w:t>
            </w:r>
          </w:p>
        </w:tc>
        <w:tc>
          <w:tcPr>
            <w:tcW w:w="1134" w:type="dxa"/>
            <w:tcMar>
              <w:top w:w="80" w:type="dxa"/>
              <w:left w:w="100" w:type="dxa"/>
              <w:bottom w:w="80" w:type="dxa"/>
              <w:right w:w="100" w:type="dxa"/>
            </w:tcMar>
          </w:tcPr>
          <w:p w14:paraId="717982AD" w14:textId="77777777" w:rsidR="002E1FD6" w:rsidRPr="00E54F33" w:rsidRDefault="002E1FD6" w:rsidP="003A4183">
            <w:r>
              <w:rPr>
                <w:color w:val="1A1A1A"/>
                <w:sz w:val="20"/>
                <w:szCs w:val="20"/>
              </w:rPr>
              <w:t>58</w:t>
            </w:r>
          </w:p>
        </w:tc>
        <w:tc>
          <w:tcPr>
            <w:tcW w:w="1559" w:type="dxa"/>
            <w:tcMar>
              <w:top w:w="80" w:type="dxa"/>
              <w:left w:w="100" w:type="dxa"/>
              <w:bottom w:w="80" w:type="dxa"/>
              <w:right w:w="100" w:type="dxa"/>
            </w:tcMar>
          </w:tcPr>
          <w:p w14:paraId="5D972C98" w14:textId="77777777" w:rsidR="002E1FD6" w:rsidRPr="00E54F33" w:rsidRDefault="002E1FD6" w:rsidP="003A4183">
            <w:pPr>
              <w:jc w:val="center"/>
            </w:pPr>
            <w:r>
              <w:rPr>
                <w:color w:val="1A1A1A"/>
                <w:sz w:val="20"/>
                <w:szCs w:val="20"/>
              </w:rPr>
              <w:t>2,1%</w:t>
            </w:r>
          </w:p>
        </w:tc>
      </w:tr>
      <w:tr w:rsidR="002E1FD6" w:rsidRPr="00E54F33" w14:paraId="4EFED6A2" w14:textId="77777777" w:rsidTr="003A4183">
        <w:trPr>
          <w:jc w:val="center"/>
        </w:trPr>
        <w:tc>
          <w:tcPr>
            <w:tcW w:w="3256" w:type="dxa"/>
            <w:tcMar>
              <w:top w:w="80" w:type="dxa"/>
              <w:left w:w="100" w:type="dxa"/>
              <w:bottom w:w="80" w:type="dxa"/>
              <w:right w:w="100" w:type="dxa"/>
            </w:tcMar>
          </w:tcPr>
          <w:p w14:paraId="2D674ADD" w14:textId="77777777" w:rsidR="002E1FD6" w:rsidRPr="00E54F33" w:rsidRDefault="002E1FD6" w:rsidP="003A4183">
            <w:r>
              <w:rPr>
                <w:color w:val="1A1A1A"/>
                <w:sz w:val="20"/>
                <w:szCs w:val="20"/>
              </w:rPr>
              <w:t>Switch</w:t>
            </w:r>
          </w:p>
        </w:tc>
        <w:tc>
          <w:tcPr>
            <w:tcW w:w="1134" w:type="dxa"/>
            <w:tcMar>
              <w:top w:w="80" w:type="dxa"/>
              <w:left w:w="100" w:type="dxa"/>
              <w:bottom w:w="80" w:type="dxa"/>
              <w:right w:w="100" w:type="dxa"/>
            </w:tcMar>
          </w:tcPr>
          <w:p w14:paraId="6EAFBFBF" w14:textId="77777777" w:rsidR="002E1FD6" w:rsidRPr="00E54F33" w:rsidRDefault="002E1FD6" w:rsidP="003A4183">
            <w:r>
              <w:rPr>
                <w:color w:val="1A1A1A"/>
                <w:sz w:val="20"/>
                <w:szCs w:val="20"/>
              </w:rPr>
              <w:t>57</w:t>
            </w:r>
          </w:p>
        </w:tc>
        <w:tc>
          <w:tcPr>
            <w:tcW w:w="1559" w:type="dxa"/>
            <w:tcMar>
              <w:top w:w="80" w:type="dxa"/>
              <w:left w:w="100" w:type="dxa"/>
              <w:bottom w:w="80" w:type="dxa"/>
              <w:right w:w="100" w:type="dxa"/>
            </w:tcMar>
          </w:tcPr>
          <w:p w14:paraId="675BFCD1" w14:textId="77777777" w:rsidR="002E1FD6" w:rsidRPr="00E54F33" w:rsidRDefault="002E1FD6" w:rsidP="003A4183">
            <w:pPr>
              <w:jc w:val="center"/>
            </w:pPr>
            <w:r>
              <w:rPr>
                <w:color w:val="1A1A1A"/>
                <w:sz w:val="20"/>
                <w:szCs w:val="20"/>
              </w:rPr>
              <w:t>2,0%</w:t>
            </w:r>
          </w:p>
        </w:tc>
      </w:tr>
    </w:tbl>
    <w:p w14:paraId="217CF698" w14:textId="77777777" w:rsidR="002E1FD6" w:rsidRPr="00E54F33" w:rsidRDefault="002E1FD6" w:rsidP="002E1FD6">
      <w:pPr>
        <w:spacing w:before="260" w:after="120" w:line="240" w:lineRule="auto"/>
        <w:outlineLvl w:val="1"/>
        <w:rPr>
          <w:rFonts w:ascii="Arial" w:eastAsia="Times New Roman" w:hAnsi="Arial" w:cs="Arial"/>
          <w:b/>
          <w:bCs/>
          <w:color w:val="2E75B6"/>
          <w:kern w:val="0"/>
          <w:sz w:val="24"/>
          <w:szCs w:val="24"/>
          <w:lang w:eastAsia="es-CO"/>
          <w14:ligatures w14:val="none"/>
        </w:rPr>
      </w:pPr>
    </w:p>
    <w:p w14:paraId="520CF4B8" w14:textId="77777777" w:rsidR="002E1FD6" w:rsidRDefault="002E1FD6" w:rsidP="002E1FD6">
      <w:pPr>
        <w:keepNext/>
        <w:keepLines/>
        <w:jc w:val="both"/>
        <w:rPr>
          <w:rFonts w:ascii="Arial" w:hAnsi="Arial" w:cs="Arial"/>
          <w:b/>
          <w:bCs/>
        </w:rPr>
      </w:pPr>
      <w:r>
        <w:rPr>
          <w:rFonts w:ascii="Arial" w:hAnsi="Arial" w:cs="Arial"/>
          <w:b/>
          <w:bCs/>
        </w:rPr>
        <w:t>Hallazgos principales.</w:t>
      </w:r>
    </w:p>
    <w:p w14:paraId="561505F8" w14:textId="77777777" w:rsidR="002E1FD6" w:rsidRPr="00D20871" w:rsidRDefault="002E1FD6" w:rsidP="002E1FD6">
      <w:pPr>
        <w:keepNext/>
        <w:keepLines/>
        <w:spacing w:before="260" w:after="120" w:line="240" w:lineRule="auto"/>
        <w:outlineLvl w:val="1"/>
        <w:rPr>
          <w:rFonts w:ascii="Arial" w:eastAsia="Times New Roman" w:hAnsi="Arial" w:cs="Arial"/>
          <w:color w:val="2E74B5"/>
          <w:kern w:val="0"/>
          <w:sz w:val="26"/>
          <w:szCs w:val="26"/>
          <w:lang w:eastAsia="es-CO"/>
          <w14:ligatures w14:val="none"/>
        </w:rPr>
      </w:pPr>
      <w:r>
        <w:rPr>
          <w:rFonts w:ascii="Arial" w:eastAsia="Times New Roman" w:hAnsi="Arial" w:cs="Arial"/>
          <w:b/>
          <w:bCs/>
          <w:color w:val="2E75B6"/>
          <w:kern w:val="0"/>
          <w:sz w:val="24"/>
          <w:szCs w:val="24"/>
          <w:lang w:eastAsia="es-CO"/>
          <w14:ligatures w14:val="none"/>
        </w:rPr>
        <w:t>Alta madurez en virtualización de servidores</w:t>
      </w:r>
    </w:p>
    <w:p w14:paraId="7F92CDBC" w14:textId="77777777" w:rsidR="002E1FD6" w:rsidRPr="00D20871" w:rsidRDefault="002E1FD6" w:rsidP="002E1FD6">
      <w:pPr>
        <w:spacing w:line="300" w:lineRule="auto"/>
        <w:jc w:val="both"/>
        <w:rPr>
          <w:rFonts w:ascii="Arial" w:eastAsia="Times New Roman" w:hAnsi="Arial" w:cs="Arial"/>
          <w:color w:val="1A1A1A"/>
          <w:kern w:val="0"/>
          <w:lang w:eastAsia="es-CO"/>
          <w14:ligatures w14:val="none"/>
        </w:rPr>
      </w:pPr>
      <w:r>
        <w:rPr>
          <w:rFonts w:ascii="Arial" w:eastAsia="Times New Roman" w:hAnsi="Arial" w:cs="Arial"/>
          <w:color w:val="1A1A1A"/>
          <w:kern w:val="0"/>
          <w:lang w:eastAsia="es-CO"/>
          <w14:ligatures w14:val="none"/>
        </w:rPr>
        <w:t>De los 594 elementos clasificados como servidor, 533 (90%) operan sobre plataforma VMware y solo 61 (10%) son físicos dedicados. Esta proporción es una señal positiva de madurez tecnológica: la entidad ha consolidado su carga de cómputo sobre pocos hosts físicos, lo que en principio facilita el mantenimiento, el respaldo y la escalabilidad, siempre que el clúster de hipervisores subyacente tenga capacidad y redundancia suficientes (punto que se retoma en la sección de riesgos).</w:t>
      </w:r>
    </w:p>
    <w:p w14:paraId="3DEBB2E9" w14:textId="77777777" w:rsidR="002E1FD6" w:rsidRPr="00D20871" w:rsidRDefault="002E1FD6" w:rsidP="002E1FD6">
      <w:pPr>
        <w:keepNext/>
        <w:keepLines/>
        <w:spacing w:before="260" w:after="120" w:line="240" w:lineRule="auto"/>
        <w:outlineLvl w:val="1"/>
        <w:rPr>
          <w:rFonts w:ascii="Arial" w:eastAsia="Times New Roman" w:hAnsi="Arial" w:cs="Arial"/>
          <w:color w:val="2E74B5"/>
          <w:kern w:val="0"/>
          <w:sz w:val="26"/>
          <w:szCs w:val="26"/>
          <w:lang w:eastAsia="es-CO"/>
          <w14:ligatures w14:val="none"/>
        </w:rPr>
      </w:pPr>
      <w:r>
        <w:rPr>
          <w:rFonts w:ascii="Arial" w:eastAsia="Times New Roman" w:hAnsi="Arial" w:cs="Arial"/>
          <w:b/>
          <w:bCs/>
          <w:color w:val="2E75B6"/>
          <w:kern w:val="0"/>
          <w:sz w:val="24"/>
          <w:szCs w:val="24"/>
          <w:lang w:eastAsia="es-CO"/>
          <w14:ligatures w14:val="none"/>
        </w:rPr>
        <w:t>Nula adopción declarada de nube pública</w:t>
      </w:r>
    </w:p>
    <w:p w14:paraId="163B7A2D" w14:textId="77777777" w:rsidR="002E1FD6" w:rsidRPr="00D20871" w:rsidRDefault="002E1FD6" w:rsidP="002E1FD6">
      <w:pPr>
        <w:spacing w:line="300" w:lineRule="auto"/>
        <w:jc w:val="both"/>
        <w:rPr>
          <w:rFonts w:ascii="Arial" w:eastAsia="Times New Roman" w:hAnsi="Arial" w:cs="Arial"/>
          <w:color w:val="1A1A1A"/>
          <w:kern w:val="0"/>
          <w:lang w:eastAsia="es-CO"/>
          <w14:ligatures w14:val="none"/>
        </w:rPr>
      </w:pPr>
      <w:r>
        <w:rPr>
          <w:rFonts w:ascii="Arial" w:eastAsia="Times New Roman" w:hAnsi="Arial" w:cs="Arial"/>
          <w:color w:val="1A1A1A"/>
          <w:kern w:val="0"/>
          <w:lang w:eastAsia="es-CO"/>
          <w14:ligatures w14:val="none"/>
        </w:rPr>
        <w:t xml:space="preserve">El campo "tipo de servicio" muestra que 2.800 de 2.824 elementos (99,2%) están clasificados como "instalado en sitio – </w:t>
      </w:r>
      <w:proofErr w:type="spellStart"/>
      <w:r>
        <w:rPr>
          <w:rFonts w:ascii="Arial" w:eastAsia="Times New Roman" w:hAnsi="Arial" w:cs="Arial"/>
          <w:color w:val="1A1A1A"/>
          <w:kern w:val="0"/>
          <w:lang w:eastAsia="es-CO"/>
          <w14:ligatures w14:val="none"/>
        </w:rPr>
        <w:t>on</w:t>
      </w:r>
      <w:proofErr w:type="spellEnd"/>
      <w:r>
        <w:rPr>
          <w:rFonts w:ascii="Arial" w:eastAsia="Times New Roman" w:hAnsi="Arial" w:cs="Arial"/>
          <w:color w:val="1A1A1A"/>
          <w:kern w:val="0"/>
          <w:lang w:eastAsia="es-CO"/>
          <w14:ligatures w14:val="none"/>
        </w:rPr>
        <w:t xml:space="preserve"> premises". Solo 16 elementos se reportan como infraestructura como servicio (IaaS), 6 como software licenciado a perpetuidad, y 1 cada uno como SaaS y PaaS. El SGC opera, según este catálogo, un modelo casi enteramente </w:t>
      </w:r>
      <w:proofErr w:type="spellStart"/>
      <w:r>
        <w:rPr>
          <w:rFonts w:ascii="Arial" w:eastAsia="Times New Roman" w:hAnsi="Arial" w:cs="Arial"/>
          <w:color w:val="1A1A1A"/>
          <w:kern w:val="0"/>
          <w:lang w:eastAsia="es-CO"/>
          <w14:ligatures w14:val="none"/>
        </w:rPr>
        <w:t>on</w:t>
      </w:r>
      <w:proofErr w:type="spellEnd"/>
      <w:r>
        <w:rPr>
          <w:rFonts w:ascii="Arial" w:eastAsia="Times New Roman" w:hAnsi="Arial" w:cs="Arial"/>
          <w:color w:val="1A1A1A"/>
          <w:kern w:val="0"/>
          <w:lang w:eastAsia="es-CO"/>
          <w14:ligatures w14:val="none"/>
        </w:rPr>
        <w:t>-premises, sin evidencia de una estrategia de migración a nube significativa hasta la fecha de corte.</w:t>
      </w:r>
    </w:p>
    <w:p w14:paraId="02CAC88C" w14:textId="77777777" w:rsidR="002E1FD6" w:rsidRPr="00D20871" w:rsidRDefault="002E1FD6" w:rsidP="002E1FD6">
      <w:pPr>
        <w:keepNext/>
        <w:keepLines/>
        <w:spacing w:before="260" w:after="120" w:line="240" w:lineRule="auto"/>
        <w:outlineLvl w:val="1"/>
        <w:rPr>
          <w:rFonts w:ascii="Arial" w:eastAsia="Times New Roman" w:hAnsi="Arial" w:cs="Arial"/>
          <w:color w:val="2E74B5"/>
          <w:kern w:val="0"/>
          <w:sz w:val="26"/>
          <w:szCs w:val="26"/>
          <w:lang w:eastAsia="es-CO"/>
          <w14:ligatures w14:val="none"/>
        </w:rPr>
      </w:pPr>
      <w:r>
        <w:rPr>
          <w:rFonts w:ascii="Arial" w:eastAsia="Times New Roman" w:hAnsi="Arial" w:cs="Arial"/>
          <w:b/>
          <w:bCs/>
          <w:color w:val="2E75B6"/>
          <w:kern w:val="0"/>
          <w:sz w:val="24"/>
          <w:szCs w:val="24"/>
          <w:lang w:eastAsia="es-CO"/>
          <w14:ligatures w14:val="none"/>
        </w:rPr>
        <w:t>Estado del inventario prácticamente estático</w:t>
      </w:r>
    </w:p>
    <w:p w14:paraId="387C5F2D" w14:textId="77777777" w:rsidR="002E1FD6" w:rsidRPr="00E54F33" w:rsidRDefault="002E1FD6" w:rsidP="002E1FD6">
      <w:pPr>
        <w:jc w:val="both"/>
        <w:rPr>
          <w:rFonts w:ascii="Arial" w:hAnsi="Arial" w:cs="Arial"/>
          <w:sz w:val="24"/>
          <w:szCs w:val="24"/>
        </w:rPr>
      </w:pPr>
      <w:r>
        <w:rPr>
          <w:rFonts w:ascii="Arial" w:eastAsia="Times New Roman" w:hAnsi="Arial" w:cs="Arial"/>
          <w:color w:val="1A1A1A"/>
          <w:kern w:val="0"/>
          <w:lang w:eastAsia="es-CO"/>
          <w14:ligatures w14:val="none"/>
        </w:rPr>
        <w:t>El campo "estado" registra 2.820 elementos como ACTIVO (99,9%) y solo 4 como INACTIVO. Ningún elemento aparece en MANTENIMIENTO, PROYECTADO o EN BODEGA, estados que el propio formato contempla. Esto puede reflejar una operación efectivamente estable, pero en un inventario de más de 2.800 elementos resulta más probable que el campo no se esté usando activamente para reflejar el ciclo de vida real de los activos.</w:t>
      </w:r>
    </w:p>
    <w:p w14:paraId="165C23A9" w14:textId="77777777" w:rsidR="002E1FD6" w:rsidRPr="00E54F33" w:rsidRDefault="002E1FD6" w:rsidP="002E1FD6">
      <w:pPr>
        <w:keepNext/>
        <w:keepLines/>
        <w:jc w:val="both"/>
        <w:rPr>
          <w:rFonts w:ascii="Arial" w:hAnsi="Arial" w:cs="Arial"/>
          <w:b/>
          <w:bCs/>
        </w:rPr>
      </w:pPr>
      <w:proofErr w:type="spellStart"/>
      <w:r>
        <w:rPr>
          <w:rFonts w:ascii="Arial" w:eastAsia="Times New Roman" w:hAnsi="Arial" w:cs="Arial"/>
          <w:b/>
          <w:bCs/>
          <w:color w:val="2E75B6"/>
          <w:kern w:val="0"/>
          <w:sz w:val="24"/>
          <w:szCs w:val="24"/>
          <w:lang w:eastAsia="es-CO"/>
          <w14:ligatures w14:val="none"/>
        </w:rPr>
        <w:lastRenderedPageBreak/>
        <w:t>Footprint</w:t>
      </w:r>
      <w:proofErr w:type="spellEnd"/>
      <w:r>
        <w:rPr>
          <w:rFonts w:ascii="Arial" w:eastAsia="Times New Roman" w:hAnsi="Arial" w:cs="Arial"/>
          <w:b/>
          <w:bCs/>
          <w:color w:val="2E75B6"/>
          <w:kern w:val="0"/>
          <w:sz w:val="24"/>
          <w:szCs w:val="24"/>
          <w:lang w:eastAsia="es-CO"/>
          <w14:ligatures w14:val="none"/>
        </w:rPr>
        <w:t xml:space="preserve"> físico </w:t>
      </w:r>
      <w:proofErr w:type="spellStart"/>
      <w:r>
        <w:rPr>
          <w:rFonts w:ascii="Arial" w:eastAsia="Times New Roman" w:hAnsi="Arial" w:cs="Arial"/>
          <w:b/>
          <w:bCs/>
          <w:color w:val="2E75B6"/>
          <w:kern w:val="0"/>
          <w:sz w:val="24"/>
          <w:szCs w:val="24"/>
          <w:lang w:eastAsia="es-CO"/>
          <w14:ligatures w14:val="none"/>
        </w:rPr>
        <w:t>multisede</w:t>
      </w:r>
      <w:proofErr w:type="spellEnd"/>
    </w:p>
    <w:p w14:paraId="67D0BA7F" w14:textId="77777777" w:rsidR="002E1FD6" w:rsidRPr="00E54F33" w:rsidRDefault="002E1FD6" w:rsidP="002E1FD6">
      <w:pPr>
        <w:spacing w:line="300" w:lineRule="auto"/>
        <w:jc w:val="both"/>
        <w:rPr>
          <w:rFonts w:ascii="Arial" w:eastAsia="Times New Roman" w:hAnsi="Arial" w:cs="Arial"/>
          <w:color w:val="1A1A1A"/>
          <w:kern w:val="0"/>
          <w:lang w:eastAsia="es-CO"/>
          <w14:ligatures w14:val="none"/>
        </w:rPr>
      </w:pPr>
      <w:r>
        <w:rPr>
          <w:rFonts w:ascii="Arial" w:eastAsia="Times New Roman" w:hAnsi="Arial" w:cs="Arial"/>
          <w:color w:val="1A1A1A"/>
          <w:kern w:val="0"/>
          <w:lang w:eastAsia="es-CO"/>
          <w14:ligatures w14:val="none"/>
        </w:rPr>
        <w:t>Las relaciones registradas en el catálogo confirman presencia en Bogotá (21 menciones), Cali (13 menciones) y sedes regionales (98 menciones), además de referencias puntuales a Popayán y Bucaramanga en equipos de red. La capa de soporte ambiental (98 sistemas de control de temperatura, 75 UPS y 15 plantas eléctricas distribuidas entre Bogotá y Cali) es coherente con un modelo de centros de datos y cuartos técnicos propios en varias sedes, no con una operación centralizada en un único sitio.</w:t>
      </w:r>
    </w:p>
    <w:p w14:paraId="4D8F8B81" w14:textId="77777777" w:rsidR="002E1FD6" w:rsidRPr="00E54F33" w:rsidRDefault="002E1FD6" w:rsidP="002E1FD6">
      <w:pPr>
        <w:keepNext/>
        <w:keepLines/>
        <w:spacing w:line="300" w:lineRule="auto"/>
        <w:jc w:val="both"/>
        <w:rPr>
          <w:rFonts w:ascii="Times New Roman" w:eastAsia="Times New Roman" w:hAnsi="Times New Roman" w:cs="Times New Roman"/>
          <w:b/>
          <w:bCs/>
          <w:color w:val="1F3864"/>
          <w:kern w:val="0"/>
          <w:sz w:val="21"/>
          <w:szCs w:val="21"/>
          <w:lang w:eastAsia="es-CO"/>
          <w14:ligatures w14:val="none"/>
        </w:rPr>
      </w:pPr>
      <w:r>
        <w:rPr>
          <w:rFonts w:ascii="Arial" w:eastAsia="Times New Roman" w:hAnsi="Arial" w:cs="Arial"/>
          <w:b/>
          <w:bCs/>
          <w:color w:val="2E75B6"/>
          <w:kern w:val="0"/>
          <w:sz w:val="24"/>
          <w:szCs w:val="24"/>
          <w:lang w:eastAsia="es-CO"/>
          <w14:ligatures w14:val="none"/>
        </w:rPr>
        <w:t>Sistemas operativos de puesto de trabajo sin soporte o en fin de ciclo.</w:t>
      </w:r>
      <w:r>
        <w:rPr>
          <w:rFonts w:ascii="Times New Roman" w:eastAsia="Times New Roman" w:hAnsi="Times New Roman" w:cs="Times New Roman"/>
          <w:b/>
          <w:bCs/>
          <w:color w:val="1F3864"/>
          <w:kern w:val="0"/>
          <w:sz w:val="21"/>
          <w:szCs w:val="21"/>
          <w:lang w:eastAsia="es-CO"/>
          <w14:ligatures w14:val="none"/>
        </w:rPr>
        <w:t xml:space="preserve"> </w:t>
      </w:r>
    </w:p>
    <w:p w14:paraId="16E7A6E3" w14:textId="77777777" w:rsidR="002E1FD6" w:rsidRPr="00E54F33" w:rsidRDefault="002E1FD6" w:rsidP="002E1FD6">
      <w:pPr>
        <w:spacing w:line="300" w:lineRule="auto"/>
        <w:jc w:val="both"/>
        <w:rPr>
          <w:rFonts w:ascii="Arial" w:eastAsia="Times New Roman" w:hAnsi="Arial" w:cs="Arial"/>
          <w:color w:val="1A1A1A"/>
          <w:kern w:val="0"/>
          <w:lang w:eastAsia="es-CO"/>
          <w14:ligatures w14:val="none"/>
        </w:rPr>
      </w:pPr>
      <w:r>
        <w:rPr>
          <w:rFonts w:ascii="Arial" w:eastAsia="Times New Roman" w:hAnsi="Arial" w:cs="Arial"/>
          <w:color w:val="1A1A1A"/>
          <w:kern w:val="0"/>
          <w:lang w:eastAsia="es-CO"/>
          <w14:ligatures w14:val="none"/>
        </w:rPr>
        <w:t>22 equipos de cómputo permanecen con Windows 7, sistema operativo sin soporte de seguridad de Microsoft desde enero de 2020. Adicionalmente, 480 equipos operan con Windows 10, sistema cuyo fin de soporte estándar de Microsoft coincide con octubre de 2025, la misma fecha de corte de este catálogo. En conjunto, 502 estaciones de trabajo (35% del parque de cómputo) están en un sistema operativo sin soporte vigente o en el límite de perderlo, frente a 910 equipos ya migrados a Windows 11.</w:t>
      </w:r>
    </w:p>
    <w:p w14:paraId="4FFA0FD5" w14:textId="77777777" w:rsidR="002E1FD6" w:rsidRPr="00C763BF" w:rsidRDefault="002E1FD6" w:rsidP="002E1FD6">
      <w:pPr>
        <w:spacing w:line="300" w:lineRule="auto"/>
        <w:jc w:val="both"/>
        <w:rPr>
          <w:rFonts w:ascii="Arial" w:eastAsia="Times New Roman" w:hAnsi="Arial" w:cs="Arial"/>
          <w:color w:val="1A1A1A"/>
          <w:kern w:val="0"/>
          <w:lang w:eastAsia="es-CO"/>
          <w14:ligatures w14:val="none"/>
        </w:rPr>
      </w:pPr>
    </w:p>
    <w:p w14:paraId="473E2F27" w14:textId="77777777" w:rsidR="002E1FD6" w:rsidRPr="002E32C3" w:rsidRDefault="002E1FD6" w:rsidP="002E1FD6">
      <w:pPr>
        <w:keepNext/>
        <w:keepLines/>
        <w:jc w:val="both"/>
        <w:rPr>
          <w:rFonts w:ascii="Arial" w:hAnsi="Arial" w:cs="Arial"/>
          <w:b/>
          <w:bCs/>
          <w:sz w:val="24"/>
          <w:szCs w:val="24"/>
        </w:rPr>
      </w:pPr>
      <w:r>
        <w:rPr>
          <w:rFonts w:ascii="Arial" w:hAnsi="Arial" w:cs="Arial"/>
          <w:b/>
          <w:bCs/>
          <w:sz w:val="24"/>
          <w:szCs w:val="24"/>
        </w:rPr>
        <w:t>2.4 INSTITUTO DE PLANIFICACIÓN Y PROMOCIÓN DE SOLUCIONES ENERGÉTICAS (IPSE).</w:t>
      </w:r>
    </w:p>
    <w:p w14:paraId="37A3BDAA"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1FAFFC13" w14:textId="77777777" w:rsidR="002E1FD6" w:rsidRPr="00E54F33" w:rsidRDefault="002E1FD6" w:rsidP="002E1FD6">
      <w:pPr>
        <w:jc w:val="both"/>
        <w:rPr>
          <w:rFonts w:ascii="Arial" w:hAnsi="Arial" w:cs="Arial"/>
        </w:rPr>
      </w:pPr>
      <w:r>
        <w:rPr>
          <w:rFonts w:ascii="Arial" w:hAnsi="Arial" w:cs="Arial"/>
        </w:rPr>
        <w:t xml:space="preserve">El catálogo presentado por la entidad reportó 188 elementos de infraestructura, distribuidos en once tipos de activo. El componente de mayor peso es, con diferencia, el de servidores virtuales: 112 registros, el 60% del inventario, todos alojados sobre un clúster de </w:t>
      </w:r>
      <w:proofErr w:type="spellStart"/>
      <w:r>
        <w:rPr>
          <w:rFonts w:ascii="Arial" w:hAnsi="Arial" w:cs="Arial"/>
        </w:rPr>
        <w:t>hiperconvergencia</w:t>
      </w:r>
      <w:proofErr w:type="spellEnd"/>
      <w:r>
        <w:rPr>
          <w:rFonts w:ascii="Arial" w:hAnsi="Arial" w:cs="Arial"/>
        </w:rPr>
        <w:t xml:space="preserve"> </w:t>
      </w:r>
      <w:proofErr w:type="spellStart"/>
      <w:r>
        <w:rPr>
          <w:rFonts w:ascii="Arial" w:hAnsi="Arial" w:cs="Arial"/>
        </w:rPr>
        <w:t>VxRail</w:t>
      </w:r>
      <w:proofErr w:type="spellEnd"/>
      <w:r>
        <w:rPr>
          <w:rFonts w:ascii="Arial" w:hAnsi="Arial" w:cs="Arial"/>
        </w:rPr>
        <w:t xml:space="preserve">. Le siguen switches (24), servidores físicos (17) y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(12); el resto firewalls, UPS, enlaces de fibra, aires acondicionados, almacenamiento, un WAF y un </w:t>
      </w:r>
      <w:proofErr w:type="spellStart"/>
      <w:r>
        <w:rPr>
          <w:rFonts w:ascii="Arial" w:hAnsi="Arial" w:cs="Arial"/>
        </w:rPr>
        <w:t>appliance</w:t>
      </w:r>
      <w:proofErr w:type="spellEnd"/>
      <w:r>
        <w:rPr>
          <w:rFonts w:ascii="Arial" w:hAnsi="Arial" w:cs="Arial"/>
        </w:rPr>
        <w:t xml:space="preserve"> de gestión completa un catálogo que cubre razonablemente bien tanto la capa de cómputo y red como la de continuidad eléctrica y climatización de los centros de datos.</w:t>
      </w:r>
    </w:p>
    <w:p w14:paraId="3D662C29" w14:textId="77777777" w:rsidR="002E1FD6" w:rsidRPr="00E54F33" w:rsidRDefault="002E1FD6" w:rsidP="002E1FD6">
      <w:pPr>
        <w:jc w:val="both"/>
        <w:rPr>
          <w:rFonts w:ascii="Arial" w:hAnsi="Arial" w:cs="Arial"/>
        </w:rPr>
      </w:pPr>
      <w:r>
        <w:rPr>
          <w:rFonts w:ascii="Arial" w:hAnsi="Arial" w:cs="Arial"/>
        </w:rPr>
        <w:t xml:space="preserve">En términos de estado operativo, de los 188 elementos, 142 (75,5%) están ACTIVOS, 26 (13,8%) INACTIVOS, 19 (10,1%) EN BODEGA y 1 en MANTENIMIENTO. El panorama general es el de una infraestructura </w:t>
      </w:r>
      <w:proofErr w:type="spellStart"/>
      <w:r>
        <w:rPr>
          <w:rFonts w:ascii="Arial" w:hAnsi="Arial" w:cs="Arial"/>
        </w:rPr>
        <w:t>on</w:t>
      </w:r>
      <w:proofErr w:type="spellEnd"/>
      <w:r>
        <w:rPr>
          <w:rFonts w:ascii="Arial" w:hAnsi="Arial" w:cs="Arial"/>
        </w:rPr>
        <w:t xml:space="preserve">-premises, concentrada en tres sedes de </w:t>
      </w:r>
      <w:proofErr w:type="spellStart"/>
      <w:r>
        <w:rPr>
          <w:rFonts w:ascii="Arial" w:hAnsi="Arial" w:cs="Arial"/>
        </w:rPr>
        <w:t>datacenter</w:t>
      </w:r>
      <w:proofErr w:type="spellEnd"/>
      <w:r>
        <w:rPr>
          <w:rFonts w:ascii="Arial" w:hAnsi="Arial" w:cs="Arial"/>
        </w:rPr>
        <w:t xml:space="preserve"> (Calle 100 en Bogotá, Calle 84 y Soacha) más un centro adicional identificado como CNM, con una capa de virtualización madura sobre hardware Dell </w:t>
      </w:r>
      <w:proofErr w:type="spellStart"/>
      <w:r>
        <w:rPr>
          <w:rFonts w:ascii="Arial" w:hAnsi="Arial" w:cs="Arial"/>
        </w:rPr>
        <w:t>VxRail</w:t>
      </w:r>
      <w:proofErr w:type="spellEnd"/>
      <w:r>
        <w:rPr>
          <w:rFonts w:ascii="Arial" w:hAnsi="Arial" w:cs="Arial"/>
        </w:rPr>
        <w:t xml:space="preserve"> y HPE </w:t>
      </w:r>
      <w:proofErr w:type="spellStart"/>
      <w:r>
        <w:rPr>
          <w:rFonts w:ascii="Arial" w:hAnsi="Arial" w:cs="Arial"/>
        </w:rPr>
        <w:t>ProLiant</w:t>
      </w:r>
      <w:proofErr w:type="spellEnd"/>
      <w:r>
        <w:rPr>
          <w:rFonts w:ascii="Arial" w:hAnsi="Arial" w:cs="Arial"/>
        </w:rPr>
        <w:t>, protegida por firewalls Fortinet de nueva generación, y con un volumen importante de equipos nuevos 19 elementos ya adquiridos y almacenados en bodega, pendientes de puesta en producción.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6"/>
        <w:gridCol w:w="904"/>
        <w:gridCol w:w="1040"/>
      </w:tblGrid>
      <w:tr w:rsidR="002E1FD6" w:rsidRPr="00E54F33" w14:paraId="7EFB564D" w14:textId="77777777" w:rsidTr="003A4183">
        <w:trPr>
          <w:tblHeader/>
          <w:jc w:val="center"/>
        </w:trPr>
        <w:tc>
          <w:tcPr>
            <w:tcW w:w="0" w:type="auto"/>
            <w:shd w:val="clear" w:color="auto" w:fill="1F3864"/>
            <w:tcMar>
              <w:top w:w="80" w:type="dxa"/>
              <w:left w:w="100" w:type="dxa"/>
              <w:bottom w:w="80" w:type="dxa"/>
              <w:right w:w="100" w:type="dxa"/>
            </w:tcMar>
            <w:vAlign w:val="center"/>
          </w:tcPr>
          <w:p w14:paraId="13B8F0C5" w14:textId="77777777" w:rsidR="002E1FD6" w:rsidRPr="00E54F33" w:rsidRDefault="002E1FD6" w:rsidP="003A4183">
            <w:pPr>
              <w:jc w:val="center"/>
            </w:pPr>
            <w:r>
              <w:rPr>
                <w:b/>
                <w:bCs/>
                <w:color w:val="FFFFFF"/>
                <w:sz w:val="19"/>
                <w:szCs w:val="19"/>
              </w:rPr>
              <w:lastRenderedPageBreak/>
              <w:t>Tipo de elemento</w:t>
            </w:r>
          </w:p>
        </w:tc>
        <w:tc>
          <w:tcPr>
            <w:tcW w:w="0" w:type="auto"/>
            <w:shd w:val="clear" w:color="auto" w:fill="1F3864"/>
            <w:tcMar>
              <w:top w:w="80" w:type="dxa"/>
              <w:left w:w="100" w:type="dxa"/>
              <w:bottom w:w="80" w:type="dxa"/>
              <w:right w:w="100" w:type="dxa"/>
            </w:tcMar>
            <w:vAlign w:val="center"/>
          </w:tcPr>
          <w:p w14:paraId="38F9812B" w14:textId="77777777" w:rsidR="002E1FD6" w:rsidRPr="00E54F33" w:rsidRDefault="002E1FD6" w:rsidP="003A4183">
            <w:pPr>
              <w:jc w:val="center"/>
            </w:pPr>
            <w:r>
              <w:rPr>
                <w:b/>
                <w:bCs/>
                <w:color w:val="FFFFFF"/>
                <w:sz w:val="19"/>
                <w:szCs w:val="19"/>
              </w:rPr>
              <w:t>Cantidad</w:t>
            </w:r>
          </w:p>
        </w:tc>
        <w:tc>
          <w:tcPr>
            <w:tcW w:w="0" w:type="auto"/>
            <w:shd w:val="clear" w:color="auto" w:fill="1F3864"/>
            <w:tcMar>
              <w:top w:w="80" w:type="dxa"/>
              <w:left w:w="100" w:type="dxa"/>
              <w:bottom w:w="80" w:type="dxa"/>
              <w:right w:w="100" w:type="dxa"/>
            </w:tcMar>
            <w:vAlign w:val="center"/>
          </w:tcPr>
          <w:p w14:paraId="56DD3306" w14:textId="77777777" w:rsidR="002E1FD6" w:rsidRPr="00E54F33" w:rsidRDefault="002E1FD6" w:rsidP="003A4183">
            <w:pPr>
              <w:jc w:val="center"/>
            </w:pPr>
            <w:r>
              <w:rPr>
                <w:b/>
                <w:bCs/>
                <w:color w:val="FFFFFF"/>
                <w:sz w:val="19"/>
                <w:szCs w:val="19"/>
              </w:rPr>
              <w:t>% del total</w:t>
            </w:r>
          </w:p>
        </w:tc>
      </w:tr>
      <w:tr w:rsidR="002E1FD6" w:rsidRPr="00E54F33" w14:paraId="64E4BFD6" w14:textId="77777777" w:rsidTr="003A4183">
        <w:trPr>
          <w:trHeight w:val="278"/>
          <w:jc w:val="center"/>
        </w:trPr>
        <w:tc>
          <w:tcPr>
            <w:tcW w:w="0" w:type="auto"/>
            <w:shd w:val="clear" w:color="auto" w:fill="F2F6FA"/>
            <w:tcMar>
              <w:top w:w="80" w:type="dxa"/>
              <w:left w:w="100" w:type="dxa"/>
              <w:bottom w:w="80" w:type="dxa"/>
              <w:right w:w="100" w:type="dxa"/>
            </w:tcMar>
            <w:vAlign w:val="center"/>
          </w:tcPr>
          <w:p w14:paraId="0B2AC21C" w14:textId="77777777" w:rsidR="002E1FD6" w:rsidRPr="00E54F33" w:rsidRDefault="002E1FD6" w:rsidP="003A4183">
            <w:r>
              <w:rPr>
                <w:color w:val="262626"/>
                <w:sz w:val="20"/>
                <w:szCs w:val="20"/>
              </w:rPr>
              <w:t>Servidor virtual</w:t>
            </w:r>
          </w:p>
        </w:tc>
        <w:tc>
          <w:tcPr>
            <w:tcW w:w="0" w:type="auto"/>
            <w:shd w:val="clear" w:color="auto" w:fill="F2F6FA"/>
            <w:tcMar>
              <w:top w:w="80" w:type="dxa"/>
              <w:left w:w="100" w:type="dxa"/>
              <w:bottom w:w="80" w:type="dxa"/>
              <w:right w:w="100" w:type="dxa"/>
            </w:tcMar>
            <w:vAlign w:val="center"/>
          </w:tcPr>
          <w:p w14:paraId="026562A6" w14:textId="77777777" w:rsidR="002E1FD6" w:rsidRPr="00E54F33" w:rsidRDefault="002E1FD6" w:rsidP="003A4183">
            <w:pPr>
              <w:jc w:val="center"/>
            </w:pPr>
            <w:r>
              <w:rPr>
                <w:color w:val="262626"/>
                <w:sz w:val="20"/>
                <w:szCs w:val="20"/>
              </w:rPr>
              <w:t>112</w:t>
            </w:r>
          </w:p>
        </w:tc>
        <w:tc>
          <w:tcPr>
            <w:tcW w:w="0" w:type="auto"/>
            <w:shd w:val="clear" w:color="auto" w:fill="F2F6FA"/>
            <w:tcMar>
              <w:top w:w="80" w:type="dxa"/>
              <w:left w:w="100" w:type="dxa"/>
              <w:bottom w:w="80" w:type="dxa"/>
              <w:right w:w="100" w:type="dxa"/>
            </w:tcMar>
            <w:vAlign w:val="center"/>
          </w:tcPr>
          <w:p w14:paraId="06862FCF" w14:textId="77777777" w:rsidR="002E1FD6" w:rsidRPr="00E54F33" w:rsidRDefault="002E1FD6" w:rsidP="003A4183">
            <w:pPr>
              <w:jc w:val="center"/>
            </w:pPr>
            <w:r>
              <w:rPr>
                <w:color w:val="262626"/>
                <w:sz w:val="20"/>
                <w:szCs w:val="20"/>
              </w:rPr>
              <w:t>59,6%</w:t>
            </w:r>
          </w:p>
        </w:tc>
      </w:tr>
      <w:tr w:rsidR="002E1FD6" w:rsidRPr="00E54F33" w14:paraId="74AC8226" w14:textId="77777777" w:rsidTr="003A4183">
        <w:trPr>
          <w:trHeight w:val="258"/>
          <w:jc w:val="center"/>
        </w:trPr>
        <w:tc>
          <w:tcPr>
            <w:tcW w:w="0" w:type="auto"/>
            <w:shd w:val="clear" w:color="auto" w:fill="FFFFFF"/>
            <w:tcMar>
              <w:top w:w="80" w:type="dxa"/>
              <w:left w:w="100" w:type="dxa"/>
              <w:bottom w:w="80" w:type="dxa"/>
              <w:right w:w="100" w:type="dxa"/>
            </w:tcMar>
            <w:vAlign w:val="center"/>
          </w:tcPr>
          <w:p w14:paraId="36A068F3" w14:textId="77777777" w:rsidR="002E1FD6" w:rsidRPr="00E54F33" w:rsidRDefault="002E1FD6" w:rsidP="003A4183">
            <w:r>
              <w:rPr>
                <w:color w:val="262626"/>
                <w:sz w:val="20"/>
                <w:szCs w:val="20"/>
              </w:rPr>
              <w:t>Switch</w:t>
            </w:r>
          </w:p>
        </w:tc>
        <w:tc>
          <w:tcPr>
            <w:tcW w:w="0" w:type="auto"/>
            <w:shd w:val="clear" w:color="auto" w:fill="FFFFFF"/>
            <w:tcMar>
              <w:top w:w="80" w:type="dxa"/>
              <w:left w:w="100" w:type="dxa"/>
              <w:bottom w:w="80" w:type="dxa"/>
              <w:right w:w="100" w:type="dxa"/>
            </w:tcMar>
            <w:vAlign w:val="center"/>
          </w:tcPr>
          <w:p w14:paraId="42E6F244" w14:textId="77777777" w:rsidR="002E1FD6" w:rsidRPr="00E54F33" w:rsidRDefault="002E1FD6" w:rsidP="003A4183">
            <w:pPr>
              <w:jc w:val="center"/>
            </w:pPr>
            <w:r>
              <w:rPr>
                <w:color w:val="262626"/>
                <w:sz w:val="20"/>
                <w:szCs w:val="20"/>
              </w:rPr>
              <w:t>24</w:t>
            </w:r>
          </w:p>
        </w:tc>
        <w:tc>
          <w:tcPr>
            <w:tcW w:w="0" w:type="auto"/>
            <w:shd w:val="clear" w:color="auto" w:fill="FFFFFF"/>
            <w:tcMar>
              <w:top w:w="80" w:type="dxa"/>
              <w:left w:w="100" w:type="dxa"/>
              <w:bottom w:w="80" w:type="dxa"/>
              <w:right w:w="100" w:type="dxa"/>
            </w:tcMar>
            <w:vAlign w:val="center"/>
          </w:tcPr>
          <w:p w14:paraId="30E8F930" w14:textId="77777777" w:rsidR="002E1FD6" w:rsidRPr="00E54F33" w:rsidRDefault="002E1FD6" w:rsidP="003A4183">
            <w:pPr>
              <w:jc w:val="center"/>
            </w:pPr>
            <w:r>
              <w:rPr>
                <w:color w:val="262626"/>
                <w:sz w:val="20"/>
                <w:szCs w:val="20"/>
              </w:rPr>
              <w:t>12,8%</w:t>
            </w:r>
          </w:p>
        </w:tc>
      </w:tr>
      <w:tr w:rsidR="002E1FD6" w:rsidRPr="00E54F33" w14:paraId="31210BC8" w14:textId="77777777" w:rsidTr="003A4183">
        <w:trPr>
          <w:jc w:val="center"/>
        </w:trPr>
        <w:tc>
          <w:tcPr>
            <w:tcW w:w="0" w:type="auto"/>
            <w:shd w:val="clear" w:color="auto" w:fill="F2F6FA"/>
            <w:tcMar>
              <w:top w:w="80" w:type="dxa"/>
              <w:left w:w="100" w:type="dxa"/>
              <w:bottom w:w="80" w:type="dxa"/>
              <w:right w:w="100" w:type="dxa"/>
            </w:tcMar>
            <w:vAlign w:val="center"/>
          </w:tcPr>
          <w:p w14:paraId="1909D23C" w14:textId="77777777" w:rsidR="002E1FD6" w:rsidRPr="00E54F33" w:rsidRDefault="002E1FD6" w:rsidP="003A4183">
            <w:r>
              <w:rPr>
                <w:color w:val="262626"/>
                <w:sz w:val="20"/>
                <w:szCs w:val="20"/>
              </w:rPr>
              <w:t>Servidor físico</w:t>
            </w:r>
          </w:p>
        </w:tc>
        <w:tc>
          <w:tcPr>
            <w:tcW w:w="0" w:type="auto"/>
            <w:shd w:val="clear" w:color="auto" w:fill="F2F6FA"/>
            <w:tcMar>
              <w:top w:w="80" w:type="dxa"/>
              <w:left w:w="100" w:type="dxa"/>
              <w:bottom w:w="80" w:type="dxa"/>
              <w:right w:w="100" w:type="dxa"/>
            </w:tcMar>
            <w:vAlign w:val="center"/>
          </w:tcPr>
          <w:p w14:paraId="28D306F7" w14:textId="77777777" w:rsidR="002E1FD6" w:rsidRPr="00E54F33" w:rsidRDefault="002E1FD6" w:rsidP="003A4183">
            <w:pPr>
              <w:jc w:val="center"/>
            </w:pPr>
            <w:r>
              <w:rPr>
                <w:color w:val="262626"/>
                <w:sz w:val="20"/>
                <w:szCs w:val="20"/>
              </w:rPr>
              <w:t>17</w:t>
            </w:r>
          </w:p>
        </w:tc>
        <w:tc>
          <w:tcPr>
            <w:tcW w:w="0" w:type="auto"/>
            <w:shd w:val="clear" w:color="auto" w:fill="F2F6FA"/>
            <w:tcMar>
              <w:top w:w="80" w:type="dxa"/>
              <w:left w:w="100" w:type="dxa"/>
              <w:bottom w:w="80" w:type="dxa"/>
              <w:right w:w="100" w:type="dxa"/>
            </w:tcMar>
            <w:vAlign w:val="center"/>
          </w:tcPr>
          <w:p w14:paraId="42BEE9ED" w14:textId="77777777" w:rsidR="002E1FD6" w:rsidRPr="00E54F33" w:rsidRDefault="002E1FD6" w:rsidP="003A4183">
            <w:pPr>
              <w:jc w:val="center"/>
            </w:pPr>
            <w:r>
              <w:rPr>
                <w:color w:val="262626"/>
                <w:sz w:val="20"/>
                <w:szCs w:val="20"/>
              </w:rPr>
              <w:t>9,0%</w:t>
            </w:r>
          </w:p>
        </w:tc>
      </w:tr>
      <w:tr w:rsidR="002E1FD6" w:rsidRPr="00E54F33" w14:paraId="68998A53" w14:textId="77777777" w:rsidTr="003A4183">
        <w:trPr>
          <w:jc w:val="center"/>
        </w:trPr>
        <w:tc>
          <w:tcPr>
            <w:tcW w:w="0" w:type="auto"/>
            <w:shd w:val="clear" w:color="auto" w:fill="FFFFFF"/>
            <w:tcMar>
              <w:top w:w="80" w:type="dxa"/>
              <w:left w:w="100" w:type="dxa"/>
              <w:bottom w:w="80" w:type="dxa"/>
              <w:right w:w="100" w:type="dxa"/>
            </w:tcMar>
            <w:vAlign w:val="center"/>
          </w:tcPr>
          <w:p w14:paraId="5BCDB399" w14:textId="77777777" w:rsidR="002E1FD6" w:rsidRPr="00E54F33" w:rsidRDefault="002E1FD6" w:rsidP="003A4183">
            <w:r>
              <w:rPr>
                <w:color w:val="262626"/>
                <w:sz w:val="20"/>
                <w:szCs w:val="20"/>
              </w:rPr>
              <w:t xml:space="preserve">Access </w:t>
            </w:r>
            <w:proofErr w:type="spellStart"/>
            <w:r>
              <w:rPr>
                <w:color w:val="262626"/>
                <w:sz w:val="20"/>
                <w:szCs w:val="20"/>
              </w:rPr>
              <w:t>point</w:t>
            </w:r>
            <w:proofErr w:type="spellEnd"/>
          </w:p>
        </w:tc>
        <w:tc>
          <w:tcPr>
            <w:tcW w:w="0" w:type="auto"/>
            <w:shd w:val="clear" w:color="auto" w:fill="FFFFFF"/>
            <w:tcMar>
              <w:top w:w="80" w:type="dxa"/>
              <w:left w:w="100" w:type="dxa"/>
              <w:bottom w:w="80" w:type="dxa"/>
              <w:right w:w="100" w:type="dxa"/>
            </w:tcMar>
            <w:vAlign w:val="center"/>
          </w:tcPr>
          <w:p w14:paraId="7D6FDA68" w14:textId="77777777" w:rsidR="002E1FD6" w:rsidRPr="00E54F33" w:rsidRDefault="002E1FD6" w:rsidP="003A4183">
            <w:pPr>
              <w:jc w:val="center"/>
            </w:pPr>
            <w:r>
              <w:rPr>
                <w:color w:val="262626"/>
                <w:sz w:val="20"/>
                <w:szCs w:val="20"/>
              </w:rPr>
              <w:t>12</w:t>
            </w:r>
          </w:p>
        </w:tc>
        <w:tc>
          <w:tcPr>
            <w:tcW w:w="0" w:type="auto"/>
            <w:shd w:val="clear" w:color="auto" w:fill="FFFFFF"/>
            <w:tcMar>
              <w:top w:w="80" w:type="dxa"/>
              <w:left w:w="100" w:type="dxa"/>
              <w:bottom w:w="80" w:type="dxa"/>
              <w:right w:w="100" w:type="dxa"/>
            </w:tcMar>
            <w:vAlign w:val="center"/>
          </w:tcPr>
          <w:p w14:paraId="471AC237" w14:textId="77777777" w:rsidR="002E1FD6" w:rsidRPr="00E54F33" w:rsidRDefault="002E1FD6" w:rsidP="003A4183">
            <w:pPr>
              <w:jc w:val="center"/>
            </w:pPr>
            <w:r>
              <w:rPr>
                <w:color w:val="262626"/>
                <w:sz w:val="20"/>
                <w:szCs w:val="20"/>
              </w:rPr>
              <w:t>6,4%</w:t>
            </w:r>
          </w:p>
        </w:tc>
      </w:tr>
      <w:tr w:rsidR="002E1FD6" w:rsidRPr="00E54F33" w14:paraId="0BCBB83F" w14:textId="77777777" w:rsidTr="003A4183">
        <w:trPr>
          <w:jc w:val="center"/>
        </w:trPr>
        <w:tc>
          <w:tcPr>
            <w:tcW w:w="0" w:type="auto"/>
            <w:shd w:val="clear" w:color="auto" w:fill="F2F6FA"/>
            <w:tcMar>
              <w:top w:w="80" w:type="dxa"/>
              <w:left w:w="100" w:type="dxa"/>
              <w:bottom w:w="80" w:type="dxa"/>
              <w:right w:w="100" w:type="dxa"/>
            </w:tcMar>
            <w:vAlign w:val="center"/>
          </w:tcPr>
          <w:p w14:paraId="655C83E4" w14:textId="77777777" w:rsidR="002E1FD6" w:rsidRPr="00E54F33" w:rsidRDefault="002E1FD6" w:rsidP="003A4183">
            <w:r>
              <w:rPr>
                <w:color w:val="262626"/>
                <w:sz w:val="20"/>
                <w:szCs w:val="20"/>
              </w:rPr>
              <w:t>Firewall</w:t>
            </w:r>
          </w:p>
        </w:tc>
        <w:tc>
          <w:tcPr>
            <w:tcW w:w="0" w:type="auto"/>
            <w:shd w:val="clear" w:color="auto" w:fill="F2F6FA"/>
            <w:tcMar>
              <w:top w:w="80" w:type="dxa"/>
              <w:left w:w="100" w:type="dxa"/>
              <w:bottom w:w="80" w:type="dxa"/>
              <w:right w:w="100" w:type="dxa"/>
            </w:tcMar>
            <w:vAlign w:val="center"/>
          </w:tcPr>
          <w:p w14:paraId="293CB7B1" w14:textId="77777777" w:rsidR="002E1FD6" w:rsidRPr="00E54F33" w:rsidRDefault="002E1FD6" w:rsidP="003A4183">
            <w:pPr>
              <w:jc w:val="center"/>
            </w:pPr>
            <w:r>
              <w:rPr>
                <w:color w:val="262626"/>
                <w:sz w:val="20"/>
                <w:szCs w:val="20"/>
              </w:rPr>
              <w:t>6</w:t>
            </w:r>
          </w:p>
        </w:tc>
        <w:tc>
          <w:tcPr>
            <w:tcW w:w="0" w:type="auto"/>
            <w:shd w:val="clear" w:color="auto" w:fill="F2F6FA"/>
            <w:tcMar>
              <w:top w:w="80" w:type="dxa"/>
              <w:left w:w="100" w:type="dxa"/>
              <w:bottom w:w="80" w:type="dxa"/>
              <w:right w:w="100" w:type="dxa"/>
            </w:tcMar>
            <w:vAlign w:val="center"/>
          </w:tcPr>
          <w:p w14:paraId="195FD06E" w14:textId="77777777" w:rsidR="002E1FD6" w:rsidRPr="00E54F33" w:rsidRDefault="002E1FD6" w:rsidP="003A4183">
            <w:pPr>
              <w:jc w:val="center"/>
            </w:pPr>
            <w:r>
              <w:rPr>
                <w:color w:val="262626"/>
                <w:sz w:val="20"/>
                <w:szCs w:val="20"/>
              </w:rPr>
              <w:t>3,2%</w:t>
            </w:r>
          </w:p>
        </w:tc>
      </w:tr>
      <w:tr w:rsidR="002E1FD6" w:rsidRPr="00E54F33" w14:paraId="6560E5B6" w14:textId="77777777" w:rsidTr="003A4183">
        <w:trPr>
          <w:jc w:val="center"/>
        </w:trPr>
        <w:tc>
          <w:tcPr>
            <w:tcW w:w="0" w:type="auto"/>
            <w:shd w:val="clear" w:color="auto" w:fill="FFFFFF"/>
            <w:tcMar>
              <w:top w:w="80" w:type="dxa"/>
              <w:left w:w="100" w:type="dxa"/>
              <w:bottom w:w="80" w:type="dxa"/>
              <w:right w:w="100" w:type="dxa"/>
            </w:tcMar>
            <w:vAlign w:val="center"/>
          </w:tcPr>
          <w:p w14:paraId="216809C7" w14:textId="77777777" w:rsidR="002E1FD6" w:rsidRPr="00E54F33" w:rsidRDefault="002E1FD6" w:rsidP="003A4183">
            <w:r>
              <w:rPr>
                <w:color w:val="262626"/>
                <w:sz w:val="20"/>
                <w:szCs w:val="20"/>
              </w:rPr>
              <w:t>UPS</w:t>
            </w:r>
          </w:p>
        </w:tc>
        <w:tc>
          <w:tcPr>
            <w:tcW w:w="0" w:type="auto"/>
            <w:shd w:val="clear" w:color="auto" w:fill="FFFFFF"/>
            <w:tcMar>
              <w:top w:w="80" w:type="dxa"/>
              <w:left w:w="100" w:type="dxa"/>
              <w:bottom w:w="80" w:type="dxa"/>
              <w:right w:w="100" w:type="dxa"/>
            </w:tcMar>
            <w:vAlign w:val="center"/>
          </w:tcPr>
          <w:p w14:paraId="2F4BD64F" w14:textId="77777777" w:rsidR="002E1FD6" w:rsidRPr="00E54F33" w:rsidRDefault="002E1FD6" w:rsidP="003A4183">
            <w:pPr>
              <w:jc w:val="center"/>
            </w:pPr>
            <w:r>
              <w:rPr>
                <w:color w:val="262626"/>
                <w:sz w:val="20"/>
                <w:szCs w:val="20"/>
              </w:rPr>
              <w:t>5</w:t>
            </w:r>
          </w:p>
        </w:tc>
        <w:tc>
          <w:tcPr>
            <w:tcW w:w="0" w:type="auto"/>
            <w:shd w:val="clear" w:color="auto" w:fill="FFFFFF"/>
            <w:tcMar>
              <w:top w:w="80" w:type="dxa"/>
              <w:left w:w="100" w:type="dxa"/>
              <w:bottom w:w="80" w:type="dxa"/>
              <w:right w:w="100" w:type="dxa"/>
            </w:tcMar>
            <w:vAlign w:val="center"/>
          </w:tcPr>
          <w:p w14:paraId="0B696553" w14:textId="77777777" w:rsidR="002E1FD6" w:rsidRPr="00E54F33" w:rsidRDefault="002E1FD6" w:rsidP="003A4183">
            <w:pPr>
              <w:jc w:val="center"/>
            </w:pPr>
            <w:r>
              <w:rPr>
                <w:color w:val="262626"/>
                <w:sz w:val="20"/>
                <w:szCs w:val="20"/>
              </w:rPr>
              <w:t>2,7%</w:t>
            </w:r>
          </w:p>
        </w:tc>
      </w:tr>
      <w:tr w:rsidR="002E1FD6" w:rsidRPr="00E54F33" w14:paraId="3DCE7D45" w14:textId="77777777" w:rsidTr="003A4183">
        <w:trPr>
          <w:jc w:val="center"/>
        </w:trPr>
        <w:tc>
          <w:tcPr>
            <w:tcW w:w="0" w:type="auto"/>
            <w:shd w:val="clear" w:color="auto" w:fill="F2F6FA"/>
            <w:tcMar>
              <w:top w:w="80" w:type="dxa"/>
              <w:left w:w="100" w:type="dxa"/>
              <w:bottom w:w="80" w:type="dxa"/>
              <w:right w:w="100" w:type="dxa"/>
            </w:tcMar>
            <w:vAlign w:val="center"/>
          </w:tcPr>
          <w:p w14:paraId="515958AC" w14:textId="77777777" w:rsidR="002E1FD6" w:rsidRPr="00E54F33" w:rsidRDefault="002E1FD6" w:rsidP="003A4183">
            <w:r>
              <w:rPr>
                <w:color w:val="262626"/>
                <w:sz w:val="20"/>
                <w:szCs w:val="20"/>
              </w:rPr>
              <w:t>Enlace de fibra óptica</w:t>
            </w:r>
          </w:p>
        </w:tc>
        <w:tc>
          <w:tcPr>
            <w:tcW w:w="0" w:type="auto"/>
            <w:shd w:val="clear" w:color="auto" w:fill="F2F6FA"/>
            <w:tcMar>
              <w:top w:w="80" w:type="dxa"/>
              <w:left w:w="100" w:type="dxa"/>
              <w:bottom w:w="80" w:type="dxa"/>
              <w:right w:w="100" w:type="dxa"/>
            </w:tcMar>
            <w:vAlign w:val="center"/>
          </w:tcPr>
          <w:p w14:paraId="6BABAB5A" w14:textId="77777777" w:rsidR="002E1FD6" w:rsidRPr="00E54F33" w:rsidRDefault="002E1FD6" w:rsidP="003A4183">
            <w:pPr>
              <w:jc w:val="center"/>
            </w:pPr>
            <w:r>
              <w:rPr>
                <w:color w:val="262626"/>
                <w:sz w:val="20"/>
                <w:szCs w:val="20"/>
              </w:rPr>
              <w:t>5</w:t>
            </w:r>
          </w:p>
        </w:tc>
        <w:tc>
          <w:tcPr>
            <w:tcW w:w="0" w:type="auto"/>
            <w:shd w:val="clear" w:color="auto" w:fill="F2F6FA"/>
            <w:tcMar>
              <w:top w:w="80" w:type="dxa"/>
              <w:left w:w="100" w:type="dxa"/>
              <w:bottom w:w="80" w:type="dxa"/>
              <w:right w:w="100" w:type="dxa"/>
            </w:tcMar>
            <w:vAlign w:val="center"/>
          </w:tcPr>
          <w:p w14:paraId="33D998FA" w14:textId="77777777" w:rsidR="002E1FD6" w:rsidRPr="00E54F33" w:rsidRDefault="002E1FD6" w:rsidP="003A4183">
            <w:pPr>
              <w:jc w:val="center"/>
            </w:pPr>
            <w:r>
              <w:rPr>
                <w:color w:val="262626"/>
                <w:sz w:val="20"/>
                <w:szCs w:val="20"/>
              </w:rPr>
              <w:t>2,7%</w:t>
            </w:r>
          </w:p>
        </w:tc>
      </w:tr>
      <w:tr w:rsidR="002E1FD6" w:rsidRPr="00E54F33" w14:paraId="010DFF96" w14:textId="77777777" w:rsidTr="003A4183">
        <w:trPr>
          <w:jc w:val="center"/>
        </w:trPr>
        <w:tc>
          <w:tcPr>
            <w:tcW w:w="0" w:type="auto"/>
            <w:shd w:val="clear" w:color="auto" w:fill="FFFFFF"/>
            <w:tcMar>
              <w:top w:w="80" w:type="dxa"/>
              <w:left w:w="100" w:type="dxa"/>
              <w:bottom w:w="80" w:type="dxa"/>
              <w:right w:w="100" w:type="dxa"/>
            </w:tcMar>
            <w:vAlign w:val="center"/>
          </w:tcPr>
          <w:p w14:paraId="35A8A0BA" w14:textId="77777777" w:rsidR="002E1FD6" w:rsidRPr="00E54F33" w:rsidRDefault="002E1FD6" w:rsidP="003A4183">
            <w:r>
              <w:rPr>
                <w:color w:val="262626"/>
                <w:sz w:val="20"/>
                <w:szCs w:val="20"/>
              </w:rPr>
              <w:t>Aire acondicionado</w:t>
            </w:r>
          </w:p>
        </w:tc>
        <w:tc>
          <w:tcPr>
            <w:tcW w:w="0" w:type="auto"/>
            <w:shd w:val="clear" w:color="auto" w:fill="FFFFFF"/>
            <w:tcMar>
              <w:top w:w="80" w:type="dxa"/>
              <w:left w:w="100" w:type="dxa"/>
              <w:bottom w:w="80" w:type="dxa"/>
              <w:right w:w="100" w:type="dxa"/>
            </w:tcMar>
            <w:vAlign w:val="center"/>
          </w:tcPr>
          <w:p w14:paraId="212ABF30" w14:textId="77777777" w:rsidR="002E1FD6" w:rsidRPr="00E54F33" w:rsidRDefault="002E1FD6" w:rsidP="003A4183">
            <w:pPr>
              <w:jc w:val="center"/>
            </w:pPr>
            <w:r>
              <w:rPr>
                <w:color w:val="262626"/>
                <w:sz w:val="20"/>
                <w:szCs w:val="20"/>
              </w:rPr>
              <w:t>4</w:t>
            </w:r>
          </w:p>
        </w:tc>
        <w:tc>
          <w:tcPr>
            <w:tcW w:w="0" w:type="auto"/>
            <w:shd w:val="clear" w:color="auto" w:fill="FFFFFF"/>
            <w:tcMar>
              <w:top w:w="80" w:type="dxa"/>
              <w:left w:w="100" w:type="dxa"/>
              <w:bottom w:w="80" w:type="dxa"/>
              <w:right w:w="100" w:type="dxa"/>
            </w:tcMar>
            <w:vAlign w:val="center"/>
          </w:tcPr>
          <w:p w14:paraId="7FF55014" w14:textId="77777777" w:rsidR="002E1FD6" w:rsidRPr="00E54F33" w:rsidRDefault="002E1FD6" w:rsidP="003A4183">
            <w:pPr>
              <w:jc w:val="center"/>
            </w:pPr>
            <w:r>
              <w:rPr>
                <w:color w:val="262626"/>
                <w:sz w:val="20"/>
                <w:szCs w:val="20"/>
              </w:rPr>
              <w:t>2,1%</w:t>
            </w:r>
          </w:p>
        </w:tc>
      </w:tr>
      <w:tr w:rsidR="002E1FD6" w:rsidRPr="00E54F33" w14:paraId="17DB69CB" w14:textId="77777777" w:rsidTr="003A4183">
        <w:trPr>
          <w:trHeight w:val="546"/>
          <w:jc w:val="center"/>
        </w:trPr>
        <w:tc>
          <w:tcPr>
            <w:tcW w:w="0" w:type="auto"/>
            <w:shd w:val="clear" w:color="auto" w:fill="F2F6FA"/>
            <w:tcMar>
              <w:top w:w="80" w:type="dxa"/>
              <w:left w:w="100" w:type="dxa"/>
              <w:bottom w:w="80" w:type="dxa"/>
              <w:right w:w="100" w:type="dxa"/>
            </w:tcMar>
            <w:vAlign w:val="center"/>
          </w:tcPr>
          <w:p w14:paraId="1112DBC3" w14:textId="77777777" w:rsidR="002E1FD6" w:rsidRPr="00E54F33" w:rsidRDefault="002E1FD6" w:rsidP="003A4183">
            <w:r>
              <w:rPr>
                <w:color w:val="262626"/>
                <w:sz w:val="20"/>
                <w:szCs w:val="20"/>
              </w:rPr>
              <w:t xml:space="preserve">Almacenamiento / </w:t>
            </w:r>
            <w:proofErr w:type="spellStart"/>
            <w:r>
              <w:rPr>
                <w:color w:val="262626"/>
                <w:sz w:val="20"/>
                <w:szCs w:val="20"/>
              </w:rPr>
              <w:t>Appliance</w:t>
            </w:r>
            <w:proofErr w:type="spellEnd"/>
            <w:r>
              <w:rPr>
                <w:color w:val="262626"/>
                <w:sz w:val="20"/>
                <w:szCs w:val="20"/>
              </w:rPr>
              <w:t xml:space="preserve"> / WAF</w:t>
            </w:r>
          </w:p>
        </w:tc>
        <w:tc>
          <w:tcPr>
            <w:tcW w:w="0" w:type="auto"/>
            <w:shd w:val="clear" w:color="auto" w:fill="F2F6FA"/>
            <w:tcMar>
              <w:top w:w="80" w:type="dxa"/>
              <w:left w:w="100" w:type="dxa"/>
              <w:bottom w:w="80" w:type="dxa"/>
              <w:right w:w="100" w:type="dxa"/>
            </w:tcMar>
            <w:vAlign w:val="center"/>
          </w:tcPr>
          <w:p w14:paraId="1B857925" w14:textId="77777777" w:rsidR="002E1FD6" w:rsidRPr="00E54F33" w:rsidRDefault="002E1FD6" w:rsidP="003A4183">
            <w:pPr>
              <w:jc w:val="center"/>
            </w:pPr>
            <w:r>
              <w:rPr>
                <w:color w:val="262626"/>
                <w:sz w:val="20"/>
                <w:szCs w:val="20"/>
              </w:rPr>
              <w:t>3</w:t>
            </w:r>
          </w:p>
        </w:tc>
        <w:tc>
          <w:tcPr>
            <w:tcW w:w="0" w:type="auto"/>
            <w:shd w:val="clear" w:color="auto" w:fill="F2F6FA"/>
            <w:tcMar>
              <w:top w:w="80" w:type="dxa"/>
              <w:left w:w="100" w:type="dxa"/>
              <w:bottom w:w="80" w:type="dxa"/>
              <w:right w:w="100" w:type="dxa"/>
            </w:tcMar>
            <w:vAlign w:val="center"/>
          </w:tcPr>
          <w:p w14:paraId="6A855359" w14:textId="77777777" w:rsidR="002E1FD6" w:rsidRPr="00E54F33" w:rsidRDefault="002E1FD6" w:rsidP="003A4183">
            <w:pPr>
              <w:jc w:val="center"/>
            </w:pPr>
            <w:r>
              <w:rPr>
                <w:color w:val="262626"/>
                <w:sz w:val="20"/>
                <w:szCs w:val="20"/>
              </w:rPr>
              <w:t>1,6%</w:t>
            </w:r>
          </w:p>
        </w:tc>
      </w:tr>
    </w:tbl>
    <w:p w14:paraId="5776547B" w14:textId="77777777" w:rsidR="002E1FD6" w:rsidRPr="00E54F33" w:rsidRDefault="002E1FD6" w:rsidP="002E1FD6">
      <w:pPr>
        <w:jc w:val="both"/>
        <w:rPr>
          <w:rFonts w:ascii="Arial" w:hAnsi="Arial" w:cs="Arial"/>
        </w:rPr>
      </w:pPr>
    </w:p>
    <w:p w14:paraId="7193D450" w14:textId="77777777" w:rsidR="002E1FD6" w:rsidRPr="00E54F33" w:rsidRDefault="002E1FD6" w:rsidP="002E1FD6">
      <w:pPr>
        <w:keepNext/>
        <w:keepLines/>
        <w:jc w:val="both"/>
        <w:rPr>
          <w:rFonts w:ascii="Arial" w:hAnsi="Arial" w:cs="Arial"/>
          <w:b/>
          <w:bCs/>
        </w:rPr>
      </w:pPr>
      <w:r>
        <w:rPr>
          <w:rFonts w:ascii="Arial" w:hAnsi="Arial" w:cs="Arial"/>
          <w:b/>
          <w:bCs/>
        </w:rPr>
        <w:t>Hallazgos principales.</w:t>
      </w:r>
    </w:p>
    <w:p w14:paraId="4F44F4E7" w14:textId="77777777" w:rsidR="002E1FD6" w:rsidRPr="00E54F33" w:rsidRDefault="002E1FD6" w:rsidP="002E1FD6">
      <w:pPr>
        <w:spacing w:line="276" w:lineRule="auto"/>
        <w:jc w:val="both"/>
        <w:rPr>
          <w:rFonts w:ascii="Arial" w:hAnsi="Arial" w:cs="Arial"/>
        </w:rPr>
      </w:pPr>
      <w:r>
        <w:rPr>
          <w:rFonts w:ascii="Arial" w:hAnsi="Arial" w:cs="Arial"/>
        </w:rPr>
        <w:t xml:space="preserve">El hallazgo más claro es que IPSE está en medio de una renovación tecnológica activa, no de un estancamiento. El firewall perimetral </w:t>
      </w:r>
      <w:proofErr w:type="spellStart"/>
      <w:r>
        <w:rPr>
          <w:rFonts w:ascii="Arial" w:hAnsi="Arial" w:cs="Arial"/>
        </w:rPr>
        <w:t>FortiGate</w:t>
      </w:r>
      <w:proofErr w:type="spellEnd"/>
      <w:r>
        <w:rPr>
          <w:rFonts w:ascii="Arial" w:hAnsi="Arial" w:cs="Arial"/>
        </w:rPr>
        <w:t xml:space="preserve"> 600D de la sede Calle 100 está explícitamente descrito como en fin de ciclo de vida (</w:t>
      </w:r>
      <w:proofErr w:type="spellStart"/>
      <w:r>
        <w:rPr>
          <w:rFonts w:ascii="Arial" w:hAnsi="Arial" w:cs="Arial"/>
        </w:rPr>
        <w:t>EoL</w:t>
      </w:r>
      <w:proofErr w:type="spellEnd"/>
      <w:r>
        <w:rPr>
          <w:rFonts w:ascii="Arial" w:hAnsi="Arial" w:cs="Arial"/>
        </w:rPr>
        <w:t>/</w:t>
      </w:r>
      <w:proofErr w:type="spellStart"/>
      <w:r>
        <w:rPr>
          <w:rFonts w:ascii="Arial" w:hAnsi="Arial" w:cs="Arial"/>
        </w:rPr>
        <w:t>EoS</w:t>
      </w:r>
      <w:proofErr w:type="spellEnd"/>
      <w:r>
        <w:rPr>
          <w:rFonts w:ascii="Arial" w:hAnsi="Arial" w:cs="Arial"/>
        </w:rPr>
        <w:t xml:space="preserve">), y la entidad ya adquirió su reemplazo, un </w:t>
      </w:r>
      <w:proofErr w:type="spellStart"/>
      <w:r>
        <w:rPr>
          <w:rFonts w:ascii="Arial" w:hAnsi="Arial" w:cs="Arial"/>
        </w:rPr>
        <w:t>FortiGate</w:t>
      </w:r>
      <w:proofErr w:type="spellEnd"/>
      <w:r>
        <w:rPr>
          <w:rFonts w:ascii="Arial" w:hAnsi="Arial" w:cs="Arial"/>
        </w:rPr>
        <w:t xml:space="preserve"> 600F, que según la propia descripción del activo integrará la arquitectura de red junto con </w:t>
      </w:r>
      <w:proofErr w:type="spellStart"/>
      <w:r>
        <w:rPr>
          <w:rFonts w:ascii="Arial" w:hAnsi="Arial" w:cs="Arial"/>
        </w:rPr>
        <w:t>FortiSwitch</w:t>
      </w:r>
      <w:proofErr w:type="spellEnd"/>
      <w:r>
        <w:rPr>
          <w:rFonts w:ascii="Arial" w:hAnsi="Arial" w:cs="Arial"/>
        </w:rPr>
        <w:t xml:space="preserve"> y </w:t>
      </w:r>
      <w:proofErr w:type="spellStart"/>
      <w:r>
        <w:rPr>
          <w:rFonts w:ascii="Arial" w:hAnsi="Arial" w:cs="Arial"/>
        </w:rPr>
        <w:t>FortiAP</w:t>
      </w:r>
      <w:proofErr w:type="spellEnd"/>
      <w:r>
        <w:rPr>
          <w:rFonts w:ascii="Arial" w:hAnsi="Arial" w:cs="Arial"/>
        </w:rPr>
        <w:t xml:space="preserve">. En la misma línea, el </w:t>
      </w:r>
      <w:proofErr w:type="spellStart"/>
      <w:r>
        <w:rPr>
          <w:rFonts w:ascii="Arial" w:hAnsi="Arial" w:cs="Arial"/>
        </w:rPr>
        <w:t>FortiGate</w:t>
      </w:r>
      <w:proofErr w:type="spellEnd"/>
      <w:r>
        <w:rPr>
          <w:rFonts w:ascii="Arial" w:hAnsi="Arial" w:cs="Arial"/>
        </w:rPr>
        <w:t xml:space="preserve"> 600E de la sede CNM está operativo, pero sin licenciamiento vigente, lo que limita sus actualizaciones de IPS, antivirus y filtrado web; también será reemplazado por un 600F, con el objetivo declarado de unificar la plataforma de firewalls en las tres sedes principales. Consistente con esto, de los 19 elementos EN BODEGA, 8 son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w:t>
      </w:r>
      <w:proofErr w:type="spellStart"/>
      <w:r>
        <w:rPr>
          <w:rFonts w:ascii="Arial" w:hAnsi="Arial" w:cs="Arial"/>
        </w:rPr>
        <w:t>FortiAP</w:t>
      </w:r>
      <w:proofErr w:type="spellEnd"/>
      <w:r>
        <w:rPr>
          <w:rFonts w:ascii="Arial" w:hAnsi="Arial" w:cs="Arial"/>
        </w:rPr>
        <w:t xml:space="preserve"> 431G (</w:t>
      </w:r>
      <w:proofErr w:type="spellStart"/>
      <w:r>
        <w:rPr>
          <w:rFonts w:ascii="Arial" w:hAnsi="Arial" w:cs="Arial"/>
        </w:rPr>
        <w:t>Wi</w:t>
      </w:r>
      <w:proofErr w:type="spellEnd"/>
      <w:r>
        <w:rPr>
          <w:rFonts w:ascii="Arial" w:hAnsi="Arial" w:cs="Arial"/>
        </w:rPr>
        <w:t xml:space="preserve">-Fi 6E), 5 son firewalls Fortinet, y hay además nodos </w:t>
      </w:r>
      <w:proofErr w:type="spellStart"/>
      <w:r>
        <w:rPr>
          <w:rFonts w:ascii="Arial" w:hAnsi="Arial" w:cs="Arial"/>
        </w:rPr>
        <w:t>VxRail</w:t>
      </w:r>
      <w:proofErr w:type="spellEnd"/>
      <w:r>
        <w:rPr>
          <w:rFonts w:ascii="Arial" w:hAnsi="Arial" w:cs="Arial"/>
        </w:rPr>
        <w:t xml:space="preserve"> adicionales y un WAF </w:t>
      </w:r>
      <w:proofErr w:type="spellStart"/>
      <w:r>
        <w:rPr>
          <w:rFonts w:ascii="Arial" w:hAnsi="Arial" w:cs="Arial"/>
        </w:rPr>
        <w:t>FortiWeb</w:t>
      </w:r>
      <w:proofErr w:type="spellEnd"/>
      <w:r>
        <w:rPr>
          <w:rFonts w:ascii="Arial" w:hAnsi="Arial" w:cs="Arial"/>
        </w:rPr>
        <w:t xml:space="preserve"> 400F: un paquete de renovación de seguridad perimetral y de red ya comprado y a la espera de despliegue.</w:t>
      </w:r>
    </w:p>
    <w:p w14:paraId="237414DE" w14:textId="77777777" w:rsidR="002E1FD6" w:rsidRPr="00E54F33" w:rsidRDefault="002E1FD6" w:rsidP="002E1FD6">
      <w:pPr>
        <w:spacing w:line="276" w:lineRule="auto"/>
        <w:jc w:val="both"/>
        <w:rPr>
          <w:rFonts w:ascii="Arial" w:hAnsi="Arial" w:cs="Arial"/>
        </w:rPr>
      </w:pPr>
      <w:r>
        <w:rPr>
          <w:rFonts w:ascii="Arial" w:hAnsi="Arial" w:cs="Arial"/>
        </w:rPr>
        <w:t xml:space="preserve">El segundo hallazgo importante está en la capa de servidores virtuales. Sobre los 112 servidores virtuales reportados, el sistema operativo se pudo identificar en 92 casos, y ahí aparece un espectro amplio de vigencia: conviven a Ubuntu 22.04/24.04 y Windows Server 2022 recientes con 4 máquinas en Debian GNU/Linux 6 (una distribución sin soporte desde </w:t>
      </w:r>
      <w:r>
        <w:rPr>
          <w:rFonts w:ascii="Arial" w:hAnsi="Arial" w:cs="Arial"/>
        </w:rPr>
        <w:lastRenderedPageBreak/>
        <w:t>hace más de una década), 1 máquina en Windows Server 2008, 4 en Windows Server 2012 y al menos 2 en CentOS 7, sistema cuyo soporte comunitario terminó en junio de 2024. La mayoría de estas cargas obsoletas están etiquetadas con criticidad ALTA y en entorno de CONTINGENCIA, lo que indica que sostienen procesos de recuperación o continuidad, no cargas de prueba desechables.</w:t>
      </w:r>
    </w:p>
    <w:p w14:paraId="37513F0C" w14:textId="77777777" w:rsidR="002E1FD6" w:rsidRPr="00E54F33" w:rsidRDefault="002E1FD6" w:rsidP="002E1FD6">
      <w:pPr>
        <w:spacing w:line="276" w:lineRule="auto"/>
        <w:jc w:val="both"/>
        <w:rPr>
          <w:rFonts w:ascii="Arial" w:hAnsi="Arial" w:cs="Arial"/>
        </w:rPr>
      </w:pPr>
      <w:r>
        <w:rPr>
          <w:rFonts w:ascii="Arial" w:hAnsi="Arial" w:cs="Arial"/>
        </w:rPr>
        <w:t xml:space="preserve">El tercer hallazgo es de higiene del dato más que de infraestructura, pero tiene consecuencias operativas: 7 identificadores del catálogo están duplicados y agrupan 9 filas adicionales. El caso más notorio es el ID EIT_IPSE_2025_F_63399, que en el catálogo identifica simultáneamente a un UPS, un aire acondicionado, una planta eléctrica y cuatro servidores físicos Dell </w:t>
      </w:r>
      <w:proofErr w:type="spellStart"/>
      <w:r>
        <w:rPr>
          <w:rFonts w:ascii="Arial" w:hAnsi="Arial" w:cs="Arial"/>
        </w:rPr>
        <w:t>VxRail</w:t>
      </w:r>
      <w:proofErr w:type="spellEnd"/>
      <w:r>
        <w:rPr>
          <w:rFonts w:ascii="Arial" w:hAnsi="Arial" w:cs="Arial"/>
        </w:rPr>
        <w:t xml:space="preserve"> distintos, todos en la sede Soacha. Un identificador que hoy responde por seis activos físicos diferentes no puede sostener una consulta confiable de inventario ni un cruce automatizado con la mesa de ayuda GLPI que la propia entidad usa como registro de gestión.</w:t>
      </w:r>
    </w:p>
    <w:p w14:paraId="42EC8441" w14:textId="77777777" w:rsidR="002E1FD6" w:rsidRPr="00E54F33" w:rsidRDefault="002E1FD6" w:rsidP="002E1FD6">
      <w:pPr>
        <w:spacing w:line="276" w:lineRule="auto"/>
        <w:jc w:val="both"/>
        <w:rPr>
          <w:rFonts w:ascii="Arial" w:hAnsi="Arial" w:cs="Arial"/>
        </w:rPr>
      </w:pPr>
      <w:r>
        <w:rPr>
          <w:rFonts w:ascii="Arial" w:hAnsi="Arial" w:cs="Arial"/>
        </w:rPr>
        <w:t xml:space="preserve">Finalmente, el catálogo confirma un parque de equipos </w:t>
      </w:r>
      <w:proofErr w:type="spellStart"/>
      <w:r>
        <w:rPr>
          <w:rFonts w:ascii="Arial" w:hAnsi="Arial" w:cs="Arial"/>
        </w:rPr>
        <w:t>legacy</w:t>
      </w:r>
      <w:proofErr w:type="spellEnd"/>
      <w:r>
        <w:rPr>
          <w:rFonts w:ascii="Arial" w:hAnsi="Arial" w:cs="Arial"/>
        </w:rPr>
        <w:t xml:space="preserve"> dado de baja pero aún inventariado: cinco servidores HP </w:t>
      </w:r>
      <w:proofErr w:type="spellStart"/>
      <w:r>
        <w:rPr>
          <w:rFonts w:ascii="Arial" w:hAnsi="Arial" w:cs="Arial"/>
        </w:rPr>
        <w:t>ProLiant</w:t>
      </w:r>
      <w:proofErr w:type="spellEnd"/>
      <w:r>
        <w:rPr>
          <w:rFonts w:ascii="Arial" w:hAnsi="Arial" w:cs="Arial"/>
        </w:rPr>
        <w:t xml:space="preserve"> DL380 G7 (generación de hardware de alrededor de 2010) y switches Cisco WS-C2960X y Alcatel-</w:t>
      </w:r>
      <w:proofErr w:type="spellStart"/>
      <w:r>
        <w:rPr>
          <w:rFonts w:ascii="Arial" w:hAnsi="Arial" w:cs="Arial"/>
        </w:rPr>
        <w:t>Lucent</w:t>
      </w:r>
      <w:proofErr w:type="spellEnd"/>
      <w:r>
        <w:rPr>
          <w:rFonts w:ascii="Arial" w:hAnsi="Arial" w:cs="Arial"/>
        </w:rPr>
        <w:t xml:space="preserve"> OS6350 aparecen como INACTIVOS o apagados, fuera de servicio por cambio de tecnología. Su presencia en el catálogo es correcta desde el punto de vista de trazabilidad histórica, pero conviene definir su disposición final (baja administrativa, reutilización o disposición de activos) para no confundir el inventario vigente con el histórico.</w:t>
      </w:r>
    </w:p>
    <w:p w14:paraId="069A83BD" w14:textId="77777777" w:rsidR="002E1FD6" w:rsidRPr="00E54F33" w:rsidRDefault="002E1FD6" w:rsidP="002E1FD6">
      <w:pPr>
        <w:keepNext/>
        <w:keepLines/>
        <w:spacing w:line="276" w:lineRule="auto"/>
        <w:jc w:val="both"/>
        <w:rPr>
          <w:rFonts w:ascii="Arial" w:hAnsi="Arial" w:cs="Arial"/>
          <w:b/>
          <w:bCs/>
        </w:rPr>
      </w:pPr>
      <w:r>
        <w:rPr>
          <w:rFonts w:ascii="Arial" w:hAnsi="Arial" w:cs="Arial"/>
          <w:b/>
          <w:bCs/>
        </w:rPr>
        <w:t>Riesgos identificados.</w:t>
      </w:r>
    </w:p>
    <w:p w14:paraId="70BCA021" w14:textId="77777777" w:rsidR="002E1FD6" w:rsidRPr="00E54F33" w:rsidRDefault="002E1FD6" w:rsidP="002E1FD6">
      <w:pPr>
        <w:spacing w:line="276" w:lineRule="auto"/>
        <w:jc w:val="both"/>
        <w:rPr>
          <w:rFonts w:ascii="Arial" w:hAnsi="Arial" w:cs="Arial"/>
        </w:rPr>
      </w:pPr>
      <w:r>
        <w:rPr>
          <w:rFonts w:ascii="Arial" w:hAnsi="Arial" w:cs="Arial"/>
        </w:rPr>
        <w:t>Obsolescencia concentrada en cargas críticas: 4 servidores virtuales sobre Debian 6, 1 sobre Windows Server 2008 y 4 sobre Windows Server 2012 —todos sin soporte de fabricante— están marcados con criticidad ALTA, varios en el entorno de contingencia que debería garantizar la continuidad del servicio si falla el sitio principal.</w:t>
      </w:r>
    </w:p>
    <w:p w14:paraId="0F581438" w14:textId="77777777" w:rsidR="002E1FD6" w:rsidRPr="00E54F33" w:rsidRDefault="002E1FD6" w:rsidP="002E1FD6">
      <w:pPr>
        <w:spacing w:line="276" w:lineRule="auto"/>
        <w:jc w:val="both"/>
        <w:rPr>
          <w:rFonts w:ascii="Arial" w:hAnsi="Arial" w:cs="Arial"/>
        </w:rPr>
      </w:pPr>
      <w:r>
        <w:rPr>
          <w:rFonts w:ascii="Arial" w:hAnsi="Arial" w:cs="Arial"/>
        </w:rPr>
        <w:t xml:space="preserve">Dependencia de una única versión de hipervisor con antigüedad relevante: los nodos físicos que sostienen el clúster principal (HPE </w:t>
      </w:r>
      <w:proofErr w:type="spellStart"/>
      <w:r>
        <w:rPr>
          <w:rFonts w:ascii="Arial" w:hAnsi="Arial" w:cs="Arial"/>
        </w:rPr>
        <w:t>ProLiant</w:t>
      </w:r>
      <w:proofErr w:type="spellEnd"/>
      <w:r>
        <w:rPr>
          <w:rFonts w:ascii="Arial" w:hAnsi="Arial" w:cs="Arial"/>
        </w:rPr>
        <w:t xml:space="preserve"> DL380 Gen10) siguen sobre VMware </w:t>
      </w:r>
      <w:proofErr w:type="spellStart"/>
      <w:r>
        <w:rPr>
          <w:rFonts w:ascii="Arial" w:hAnsi="Arial" w:cs="Arial"/>
        </w:rPr>
        <w:t>ESXi</w:t>
      </w:r>
      <w:proofErr w:type="spellEnd"/>
      <w:r>
        <w:rPr>
          <w:rFonts w:ascii="Arial" w:hAnsi="Arial" w:cs="Arial"/>
        </w:rPr>
        <w:t xml:space="preserve"> 6.7.0, versión liberada en 2018, lo que implica revisar su hoja de ruta de soporte extendido frente al ciclo de vida de VMware.</w:t>
      </w:r>
    </w:p>
    <w:p w14:paraId="410C5022" w14:textId="77777777" w:rsidR="002E1FD6" w:rsidRPr="00E54F33" w:rsidRDefault="002E1FD6" w:rsidP="002E1FD6">
      <w:pPr>
        <w:spacing w:line="276" w:lineRule="auto"/>
        <w:jc w:val="both"/>
        <w:rPr>
          <w:rFonts w:ascii="Arial" w:hAnsi="Arial" w:cs="Arial"/>
        </w:rPr>
      </w:pPr>
      <w:r>
        <w:rPr>
          <w:rFonts w:ascii="Arial" w:hAnsi="Arial" w:cs="Arial"/>
        </w:rPr>
        <w:t xml:space="preserve">Vigencia de licenciamiento de seguridad expuesta: mientras se completa el reemplazo del </w:t>
      </w:r>
      <w:proofErr w:type="spellStart"/>
      <w:r>
        <w:rPr>
          <w:rFonts w:ascii="Arial" w:hAnsi="Arial" w:cs="Arial"/>
        </w:rPr>
        <w:t>FortiGate</w:t>
      </w:r>
      <w:proofErr w:type="spellEnd"/>
      <w:r>
        <w:rPr>
          <w:rFonts w:ascii="Arial" w:hAnsi="Arial" w:cs="Arial"/>
        </w:rPr>
        <w:t xml:space="preserve"> 600E por el 600F, la sede CNM opera con protección perimetral degradada por falta de licenciamiento vigente, una ventana de riesgo activa hoy, no solo un hallazgo histórico.</w:t>
      </w:r>
    </w:p>
    <w:p w14:paraId="106AED24" w14:textId="77777777" w:rsidR="002E1FD6" w:rsidRPr="00E54F33" w:rsidRDefault="002E1FD6" w:rsidP="002E1FD6">
      <w:pPr>
        <w:jc w:val="both"/>
        <w:rPr>
          <w:rFonts w:ascii="Arial" w:hAnsi="Arial" w:cs="Arial"/>
          <w:b/>
          <w:bCs/>
        </w:rPr>
      </w:pPr>
    </w:p>
    <w:p w14:paraId="711827CF" w14:textId="77777777" w:rsidR="002E1FD6" w:rsidRPr="00E54F33" w:rsidRDefault="002E1FD6" w:rsidP="002E1FD6">
      <w:pPr>
        <w:jc w:val="both"/>
        <w:rPr>
          <w:rFonts w:ascii="Arial" w:hAnsi="Arial" w:cs="Arial"/>
          <w:b/>
          <w:bCs/>
        </w:rPr>
      </w:pPr>
    </w:p>
    <w:p w14:paraId="46BC3712" w14:textId="77777777" w:rsidR="002E1FD6" w:rsidRPr="00E54F33" w:rsidRDefault="002E1FD6" w:rsidP="002E1FD6">
      <w:pPr>
        <w:jc w:val="both"/>
        <w:rPr>
          <w:rFonts w:ascii="Arial" w:hAnsi="Arial" w:cs="Arial"/>
          <w:b/>
          <w:bCs/>
        </w:rPr>
      </w:pPr>
    </w:p>
    <w:p w14:paraId="3D998595" w14:textId="77777777" w:rsidR="002E1FD6" w:rsidRPr="002E32C3" w:rsidRDefault="002E1FD6" w:rsidP="002E1FD6">
      <w:pPr>
        <w:keepNext/>
        <w:keepLines/>
        <w:jc w:val="both"/>
        <w:rPr>
          <w:rFonts w:ascii="Arial" w:hAnsi="Arial" w:cs="Arial"/>
          <w:b/>
          <w:bCs/>
          <w:sz w:val="24"/>
          <w:szCs w:val="24"/>
        </w:rPr>
      </w:pPr>
      <w:r>
        <w:rPr>
          <w:rFonts w:ascii="Arial" w:hAnsi="Arial" w:cs="Arial"/>
          <w:b/>
          <w:bCs/>
          <w:sz w:val="24"/>
          <w:szCs w:val="24"/>
        </w:rPr>
        <w:lastRenderedPageBreak/>
        <w:t>2.5 FONDO DE ENERGÍAS NO CONVENCIONALES Y GESTIÓN EFICIENTE DE LA ENERGÍA (FENOGE).</w:t>
      </w:r>
    </w:p>
    <w:p w14:paraId="45A66904"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1C1787A9" w14:textId="77777777" w:rsidR="002E1FD6" w:rsidRPr="00E54F33" w:rsidRDefault="002E1FD6" w:rsidP="002E1FD6">
      <w:pPr>
        <w:jc w:val="both"/>
        <w:rPr>
          <w:rFonts w:ascii="Arial" w:hAnsi="Arial" w:cs="Arial"/>
        </w:rPr>
      </w:pPr>
      <w:r>
        <w:rPr>
          <w:rFonts w:ascii="Arial" w:hAnsi="Arial" w:cs="Arial"/>
        </w:rPr>
        <w:t>El catálogo presentado por la entidad presenta una respuesta del 100% en los campos obligatorios del formato estandarizado, reportando un total de 19 elementos de infraestructura tecnológica, todos con estado operacional registrado como 'ACTIVO' y fecha de actualización uniforme del 15 de junio de 2026. Sin embargo, tras el análisis exhaustivo, la cobertura técnica revela inconsistencias críticas de fondo, duplicidad de identificadores e insuficiencia en la representación del universo tecnológico real de la entidad.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993"/>
        <w:gridCol w:w="1842"/>
        <w:gridCol w:w="1418"/>
      </w:tblGrid>
      <w:tr w:rsidR="002E1FD6" w:rsidRPr="00E54F33" w14:paraId="78570148" w14:textId="77777777" w:rsidTr="003A4183">
        <w:trPr>
          <w:jc w:val="center"/>
        </w:trPr>
        <w:tc>
          <w:tcPr>
            <w:tcW w:w="2263" w:type="dxa"/>
            <w:shd w:val="clear" w:color="auto" w:fill="003366"/>
            <w:tcMar>
              <w:top w:w="80" w:type="dxa"/>
              <w:left w:w="100" w:type="dxa"/>
              <w:bottom w:w="80" w:type="dxa"/>
              <w:right w:w="100" w:type="dxa"/>
            </w:tcMar>
          </w:tcPr>
          <w:p w14:paraId="4DBC23A1" w14:textId="77777777" w:rsidR="002E1FD6" w:rsidRPr="00E54F33" w:rsidRDefault="002E1FD6" w:rsidP="003A4183">
            <w:pPr>
              <w:spacing w:before="80" w:after="80"/>
            </w:pPr>
            <w:r>
              <w:rPr>
                <w:b/>
                <w:color w:val="FFFFFF"/>
                <w:sz w:val="19"/>
              </w:rPr>
              <w:t>Categoría de Elemento</w:t>
            </w:r>
          </w:p>
        </w:tc>
        <w:tc>
          <w:tcPr>
            <w:tcW w:w="993" w:type="dxa"/>
            <w:shd w:val="clear" w:color="auto" w:fill="003366"/>
            <w:tcMar>
              <w:top w:w="80" w:type="dxa"/>
              <w:left w:w="100" w:type="dxa"/>
              <w:bottom w:w="80" w:type="dxa"/>
              <w:right w:w="100" w:type="dxa"/>
            </w:tcMar>
          </w:tcPr>
          <w:p w14:paraId="45AFAB09" w14:textId="77777777" w:rsidR="002E1FD6" w:rsidRPr="00E54F33" w:rsidRDefault="002E1FD6" w:rsidP="003A4183">
            <w:pPr>
              <w:spacing w:before="80" w:after="80"/>
            </w:pPr>
            <w:r>
              <w:rPr>
                <w:b/>
                <w:color w:val="FFFFFF"/>
                <w:sz w:val="19"/>
              </w:rPr>
              <w:t>Cantidad</w:t>
            </w:r>
          </w:p>
        </w:tc>
        <w:tc>
          <w:tcPr>
            <w:tcW w:w="1842" w:type="dxa"/>
            <w:shd w:val="clear" w:color="auto" w:fill="003366"/>
            <w:tcMar>
              <w:top w:w="80" w:type="dxa"/>
              <w:left w:w="100" w:type="dxa"/>
              <w:bottom w:w="80" w:type="dxa"/>
              <w:right w:w="100" w:type="dxa"/>
            </w:tcMar>
          </w:tcPr>
          <w:p w14:paraId="7F41400C" w14:textId="77777777" w:rsidR="002E1FD6" w:rsidRPr="00E54F33" w:rsidRDefault="002E1FD6" w:rsidP="003A4183">
            <w:pPr>
              <w:spacing w:before="80" w:after="80"/>
            </w:pPr>
            <w:r>
              <w:rPr>
                <w:b/>
                <w:color w:val="FFFFFF"/>
                <w:sz w:val="19"/>
              </w:rPr>
              <w:t>Tipo de Servicio</w:t>
            </w:r>
          </w:p>
        </w:tc>
        <w:tc>
          <w:tcPr>
            <w:tcW w:w="1418" w:type="dxa"/>
            <w:shd w:val="clear" w:color="auto" w:fill="003366"/>
            <w:tcMar>
              <w:top w:w="80" w:type="dxa"/>
              <w:left w:w="100" w:type="dxa"/>
              <w:bottom w:w="80" w:type="dxa"/>
              <w:right w:w="100" w:type="dxa"/>
            </w:tcMar>
          </w:tcPr>
          <w:p w14:paraId="05430D04" w14:textId="77777777" w:rsidR="002E1FD6" w:rsidRPr="00E54F33" w:rsidRDefault="002E1FD6" w:rsidP="003A4183">
            <w:pPr>
              <w:spacing w:before="80" w:after="80"/>
            </w:pPr>
            <w:r>
              <w:rPr>
                <w:b/>
                <w:color w:val="FFFFFF"/>
                <w:sz w:val="19"/>
              </w:rPr>
              <w:t>Estado Reportado</w:t>
            </w:r>
          </w:p>
        </w:tc>
      </w:tr>
      <w:tr w:rsidR="002E1FD6" w:rsidRPr="00E54F33" w14:paraId="1B4CC5F6" w14:textId="77777777" w:rsidTr="003A4183">
        <w:trPr>
          <w:jc w:val="center"/>
        </w:trPr>
        <w:tc>
          <w:tcPr>
            <w:tcW w:w="2263" w:type="dxa"/>
            <w:shd w:val="clear" w:color="auto" w:fill="F4F6F9"/>
            <w:tcMar>
              <w:top w:w="60" w:type="dxa"/>
              <w:left w:w="100" w:type="dxa"/>
              <w:bottom w:w="60" w:type="dxa"/>
              <w:right w:w="100" w:type="dxa"/>
            </w:tcMar>
          </w:tcPr>
          <w:p w14:paraId="3CD91527" w14:textId="77777777" w:rsidR="002E1FD6" w:rsidRPr="00E54F33" w:rsidRDefault="002E1FD6" w:rsidP="003A4183">
            <w:pPr>
              <w:spacing w:before="40" w:after="40"/>
            </w:pPr>
            <w:r>
              <w:rPr>
                <w:sz w:val="18"/>
              </w:rPr>
              <w:t xml:space="preserve">Access </w:t>
            </w:r>
            <w:proofErr w:type="spellStart"/>
            <w:r>
              <w:rPr>
                <w:sz w:val="18"/>
              </w:rPr>
              <w:t>Points</w:t>
            </w:r>
            <w:proofErr w:type="spellEnd"/>
            <w:r>
              <w:rPr>
                <w:sz w:val="18"/>
              </w:rPr>
              <w:t xml:space="preserve"> (Puntos de Acceso)</w:t>
            </w:r>
          </w:p>
        </w:tc>
        <w:tc>
          <w:tcPr>
            <w:tcW w:w="993" w:type="dxa"/>
            <w:shd w:val="clear" w:color="auto" w:fill="F4F6F9"/>
            <w:tcMar>
              <w:top w:w="60" w:type="dxa"/>
              <w:left w:w="100" w:type="dxa"/>
              <w:bottom w:w="60" w:type="dxa"/>
              <w:right w:w="100" w:type="dxa"/>
            </w:tcMar>
          </w:tcPr>
          <w:p w14:paraId="6F0D4584" w14:textId="77777777" w:rsidR="002E1FD6" w:rsidRPr="00E54F33" w:rsidRDefault="002E1FD6" w:rsidP="003A4183">
            <w:pPr>
              <w:spacing w:before="40" w:after="40"/>
            </w:pPr>
            <w:r>
              <w:rPr>
                <w:sz w:val="18"/>
              </w:rPr>
              <w:t>13</w:t>
            </w:r>
          </w:p>
        </w:tc>
        <w:tc>
          <w:tcPr>
            <w:tcW w:w="1842" w:type="dxa"/>
            <w:shd w:val="clear" w:color="auto" w:fill="F4F6F9"/>
            <w:tcMar>
              <w:top w:w="60" w:type="dxa"/>
              <w:left w:w="100" w:type="dxa"/>
              <w:bottom w:w="60" w:type="dxa"/>
              <w:right w:w="100" w:type="dxa"/>
            </w:tcMar>
          </w:tcPr>
          <w:p w14:paraId="6B30DCAD" w14:textId="77777777" w:rsidR="002E1FD6" w:rsidRPr="00E54F33" w:rsidRDefault="002E1FD6" w:rsidP="003A4183">
            <w:pPr>
              <w:spacing w:before="40" w:after="40"/>
            </w:pPr>
            <w:r>
              <w:rPr>
                <w:sz w:val="18"/>
              </w:rPr>
              <w:t>IaaS (Infraestructura)</w:t>
            </w:r>
          </w:p>
        </w:tc>
        <w:tc>
          <w:tcPr>
            <w:tcW w:w="1418" w:type="dxa"/>
            <w:shd w:val="clear" w:color="auto" w:fill="F4F6F9"/>
            <w:tcMar>
              <w:top w:w="60" w:type="dxa"/>
              <w:left w:w="100" w:type="dxa"/>
              <w:bottom w:w="60" w:type="dxa"/>
              <w:right w:w="100" w:type="dxa"/>
            </w:tcMar>
          </w:tcPr>
          <w:p w14:paraId="4C8EBF46" w14:textId="77777777" w:rsidR="002E1FD6" w:rsidRPr="00E54F33" w:rsidRDefault="002E1FD6" w:rsidP="003A4183">
            <w:pPr>
              <w:spacing w:before="40" w:after="40"/>
            </w:pPr>
            <w:r>
              <w:rPr>
                <w:sz w:val="18"/>
              </w:rPr>
              <w:t>ACTIVO (100%)</w:t>
            </w:r>
          </w:p>
        </w:tc>
      </w:tr>
      <w:tr w:rsidR="002E1FD6" w:rsidRPr="00E54F33" w14:paraId="28AF220D" w14:textId="77777777" w:rsidTr="003A4183">
        <w:trPr>
          <w:jc w:val="center"/>
        </w:trPr>
        <w:tc>
          <w:tcPr>
            <w:tcW w:w="2263" w:type="dxa"/>
            <w:shd w:val="clear" w:color="auto" w:fill="FFFFFF"/>
            <w:tcMar>
              <w:top w:w="60" w:type="dxa"/>
              <w:left w:w="100" w:type="dxa"/>
              <w:bottom w:w="60" w:type="dxa"/>
              <w:right w:w="100" w:type="dxa"/>
            </w:tcMar>
          </w:tcPr>
          <w:p w14:paraId="6B532690" w14:textId="77777777" w:rsidR="002E1FD6" w:rsidRPr="00E54F33" w:rsidRDefault="002E1FD6" w:rsidP="003A4183">
            <w:pPr>
              <w:spacing w:before="40" w:after="40"/>
            </w:pPr>
            <w:r>
              <w:rPr>
                <w:sz w:val="18"/>
              </w:rPr>
              <w:t>Firewalls (Cortafuegos)</w:t>
            </w:r>
          </w:p>
        </w:tc>
        <w:tc>
          <w:tcPr>
            <w:tcW w:w="993" w:type="dxa"/>
            <w:shd w:val="clear" w:color="auto" w:fill="FFFFFF"/>
            <w:tcMar>
              <w:top w:w="60" w:type="dxa"/>
              <w:left w:w="100" w:type="dxa"/>
              <w:bottom w:w="60" w:type="dxa"/>
              <w:right w:w="100" w:type="dxa"/>
            </w:tcMar>
          </w:tcPr>
          <w:p w14:paraId="6FFB44FE" w14:textId="77777777" w:rsidR="002E1FD6" w:rsidRPr="00E54F33" w:rsidRDefault="002E1FD6" w:rsidP="003A4183">
            <w:pPr>
              <w:spacing w:before="40" w:after="40"/>
            </w:pPr>
            <w:r>
              <w:rPr>
                <w:sz w:val="18"/>
              </w:rPr>
              <w:t>2</w:t>
            </w:r>
          </w:p>
        </w:tc>
        <w:tc>
          <w:tcPr>
            <w:tcW w:w="1842" w:type="dxa"/>
            <w:shd w:val="clear" w:color="auto" w:fill="FFFFFF"/>
            <w:tcMar>
              <w:top w:w="60" w:type="dxa"/>
              <w:left w:w="100" w:type="dxa"/>
              <w:bottom w:w="60" w:type="dxa"/>
              <w:right w:w="100" w:type="dxa"/>
            </w:tcMar>
          </w:tcPr>
          <w:p w14:paraId="1592A6A8" w14:textId="77777777" w:rsidR="002E1FD6" w:rsidRPr="00E54F33" w:rsidRDefault="002E1FD6" w:rsidP="003A4183">
            <w:pPr>
              <w:spacing w:before="40" w:after="40"/>
            </w:pPr>
            <w:r>
              <w:rPr>
                <w:sz w:val="18"/>
              </w:rPr>
              <w:t>IaaS (Infraestructura)</w:t>
            </w:r>
          </w:p>
        </w:tc>
        <w:tc>
          <w:tcPr>
            <w:tcW w:w="1418" w:type="dxa"/>
            <w:shd w:val="clear" w:color="auto" w:fill="FFFFFF"/>
            <w:tcMar>
              <w:top w:w="60" w:type="dxa"/>
              <w:left w:w="100" w:type="dxa"/>
              <w:bottom w:w="60" w:type="dxa"/>
              <w:right w:w="100" w:type="dxa"/>
            </w:tcMar>
          </w:tcPr>
          <w:p w14:paraId="3610418A" w14:textId="77777777" w:rsidR="002E1FD6" w:rsidRPr="00E54F33" w:rsidRDefault="002E1FD6" w:rsidP="003A4183">
            <w:pPr>
              <w:spacing w:before="40" w:after="40"/>
            </w:pPr>
            <w:r>
              <w:rPr>
                <w:sz w:val="18"/>
              </w:rPr>
              <w:t>ACTIVO (100%)</w:t>
            </w:r>
          </w:p>
        </w:tc>
      </w:tr>
      <w:tr w:rsidR="002E1FD6" w:rsidRPr="00E54F33" w14:paraId="7951DA2B" w14:textId="77777777" w:rsidTr="003A4183">
        <w:trPr>
          <w:jc w:val="center"/>
        </w:trPr>
        <w:tc>
          <w:tcPr>
            <w:tcW w:w="2263" w:type="dxa"/>
            <w:shd w:val="clear" w:color="auto" w:fill="F4F6F9"/>
            <w:tcMar>
              <w:top w:w="60" w:type="dxa"/>
              <w:left w:w="100" w:type="dxa"/>
              <w:bottom w:w="60" w:type="dxa"/>
              <w:right w:w="100" w:type="dxa"/>
            </w:tcMar>
          </w:tcPr>
          <w:p w14:paraId="61BA1B2C" w14:textId="77777777" w:rsidR="002E1FD6" w:rsidRPr="00E54F33" w:rsidRDefault="002E1FD6" w:rsidP="003A4183">
            <w:pPr>
              <w:spacing w:before="40" w:after="40"/>
            </w:pPr>
            <w:r>
              <w:rPr>
                <w:sz w:val="18"/>
              </w:rPr>
              <w:t>Switches de Red (</w:t>
            </w:r>
            <w:proofErr w:type="spellStart"/>
            <w:r>
              <w:rPr>
                <w:sz w:val="18"/>
              </w:rPr>
              <w:t>PoE</w:t>
            </w:r>
            <w:proofErr w:type="spellEnd"/>
            <w:r>
              <w:rPr>
                <w:sz w:val="18"/>
              </w:rPr>
              <w:t>)</w:t>
            </w:r>
          </w:p>
        </w:tc>
        <w:tc>
          <w:tcPr>
            <w:tcW w:w="993" w:type="dxa"/>
            <w:shd w:val="clear" w:color="auto" w:fill="F4F6F9"/>
            <w:tcMar>
              <w:top w:w="60" w:type="dxa"/>
              <w:left w:w="100" w:type="dxa"/>
              <w:bottom w:w="60" w:type="dxa"/>
              <w:right w:w="100" w:type="dxa"/>
            </w:tcMar>
          </w:tcPr>
          <w:p w14:paraId="3BB147A4" w14:textId="77777777" w:rsidR="002E1FD6" w:rsidRPr="00E54F33" w:rsidRDefault="002E1FD6" w:rsidP="003A4183">
            <w:pPr>
              <w:spacing w:before="40" w:after="40"/>
            </w:pPr>
            <w:r>
              <w:rPr>
                <w:sz w:val="18"/>
              </w:rPr>
              <w:t>2</w:t>
            </w:r>
          </w:p>
        </w:tc>
        <w:tc>
          <w:tcPr>
            <w:tcW w:w="1842" w:type="dxa"/>
            <w:shd w:val="clear" w:color="auto" w:fill="F4F6F9"/>
            <w:tcMar>
              <w:top w:w="60" w:type="dxa"/>
              <w:left w:w="100" w:type="dxa"/>
              <w:bottom w:w="60" w:type="dxa"/>
              <w:right w:w="100" w:type="dxa"/>
            </w:tcMar>
          </w:tcPr>
          <w:p w14:paraId="1B16448F" w14:textId="77777777" w:rsidR="002E1FD6" w:rsidRPr="00E54F33" w:rsidRDefault="002E1FD6" w:rsidP="003A4183">
            <w:pPr>
              <w:spacing w:before="40" w:after="40"/>
            </w:pPr>
            <w:r>
              <w:rPr>
                <w:sz w:val="18"/>
              </w:rPr>
              <w:t>IaaS (Infraestructura)</w:t>
            </w:r>
          </w:p>
        </w:tc>
        <w:tc>
          <w:tcPr>
            <w:tcW w:w="1418" w:type="dxa"/>
            <w:shd w:val="clear" w:color="auto" w:fill="F4F6F9"/>
            <w:tcMar>
              <w:top w:w="60" w:type="dxa"/>
              <w:left w:w="100" w:type="dxa"/>
              <w:bottom w:w="60" w:type="dxa"/>
              <w:right w:w="100" w:type="dxa"/>
            </w:tcMar>
          </w:tcPr>
          <w:p w14:paraId="4050DD98" w14:textId="77777777" w:rsidR="002E1FD6" w:rsidRPr="00E54F33" w:rsidRDefault="002E1FD6" w:rsidP="003A4183">
            <w:pPr>
              <w:spacing w:before="40" w:after="40"/>
            </w:pPr>
            <w:r>
              <w:rPr>
                <w:sz w:val="18"/>
              </w:rPr>
              <w:t>ACTIVO (100%)</w:t>
            </w:r>
          </w:p>
        </w:tc>
      </w:tr>
      <w:tr w:rsidR="002E1FD6" w:rsidRPr="00E54F33" w14:paraId="4D2FE122" w14:textId="77777777" w:rsidTr="003A4183">
        <w:trPr>
          <w:jc w:val="center"/>
        </w:trPr>
        <w:tc>
          <w:tcPr>
            <w:tcW w:w="2263" w:type="dxa"/>
            <w:shd w:val="clear" w:color="auto" w:fill="FFFFFF"/>
            <w:tcMar>
              <w:top w:w="60" w:type="dxa"/>
              <w:left w:w="100" w:type="dxa"/>
              <w:bottom w:w="60" w:type="dxa"/>
              <w:right w:w="100" w:type="dxa"/>
            </w:tcMar>
          </w:tcPr>
          <w:p w14:paraId="542BAE8A" w14:textId="77777777" w:rsidR="002E1FD6" w:rsidRPr="00E54F33" w:rsidRDefault="002E1FD6" w:rsidP="003A4183">
            <w:pPr>
              <w:spacing w:before="40" w:after="40"/>
            </w:pPr>
            <w:r>
              <w:rPr>
                <w:sz w:val="18"/>
              </w:rPr>
              <w:t>Servidor Virtual (Orfeo/Pruebas)</w:t>
            </w:r>
          </w:p>
        </w:tc>
        <w:tc>
          <w:tcPr>
            <w:tcW w:w="993" w:type="dxa"/>
            <w:shd w:val="clear" w:color="auto" w:fill="FFFFFF"/>
            <w:tcMar>
              <w:top w:w="60" w:type="dxa"/>
              <w:left w:w="100" w:type="dxa"/>
              <w:bottom w:w="60" w:type="dxa"/>
              <w:right w:w="100" w:type="dxa"/>
            </w:tcMar>
          </w:tcPr>
          <w:p w14:paraId="2AD3B4FB" w14:textId="77777777" w:rsidR="002E1FD6" w:rsidRPr="00E54F33" w:rsidRDefault="002E1FD6" w:rsidP="003A4183">
            <w:pPr>
              <w:spacing w:before="40" w:after="40"/>
            </w:pPr>
            <w:r>
              <w:rPr>
                <w:sz w:val="18"/>
              </w:rPr>
              <w:t>1</w:t>
            </w:r>
          </w:p>
        </w:tc>
        <w:tc>
          <w:tcPr>
            <w:tcW w:w="1842" w:type="dxa"/>
            <w:shd w:val="clear" w:color="auto" w:fill="FFFFFF"/>
            <w:tcMar>
              <w:top w:w="60" w:type="dxa"/>
              <w:left w:w="100" w:type="dxa"/>
              <w:bottom w:w="60" w:type="dxa"/>
              <w:right w:w="100" w:type="dxa"/>
            </w:tcMar>
          </w:tcPr>
          <w:p w14:paraId="16D2DAA7" w14:textId="77777777" w:rsidR="002E1FD6" w:rsidRPr="00E54F33" w:rsidRDefault="002E1FD6" w:rsidP="003A4183">
            <w:pPr>
              <w:spacing w:before="40" w:after="40"/>
            </w:pPr>
            <w:r>
              <w:rPr>
                <w:sz w:val="18"/>
              </w:rPr>
              <w:t xml:space="preserve">SaaS (Software como </w:t>
            </w:r>
            <w:proofErr w:type="spellStart"/>
            <w:r>
              <w:rPr>
                <w:sz w:val="18"/>
              </w:rPr>
              <w:t>Serv</w:t>
            </w:r>
            <w:proofErr w:type="spellEnd"/>
            <w:r>
              <w:rPr>
                <w:sz w:val="18"/>
              </w:rPr>
              <w:t>.)</w:t>
            </w:r>
          </w:p>
        </w:tc>
        <w:tc>
          <w:tcPr>
            <w:tcW w:w="1418" w:type="dxa"/>
            <w:shd w:val="clear" w:color="auto" w:fill="FFFFFF"/>
            <w:tcMar>
              <w:top w:w="60" w:type="dxa"/>
              <w:left w:w="100" w:type="dxa"/>
              <w:bottom w:w="60" w:type="dxa"/>
              <w:right w:w="100" w:type="dxa"/>
            </w:tcMar>
          </w:tcPr>
          <w:p w14:paraId="321AE780" w14:textId="77777777" w:rsidR="002E1FD6" w:rsidRPr="00E54F33" w:rsidRDefault="002E1FD6" w:rsidP="003A4183">
            <w:pPr>
              <w:spacing w:before="40" w:after="40"/>
            </w:pPr>
            <w:r>
              <w:rPr>
                <w:sz w:val="18"/>
              </w:rPr>
              <w:t>ACTIVO (100%)</w:t>
            </w:r>
          </w:p>
        </w:tc>
      </w:tr>
      <w:tr w:rsidR="002E1FD6" w:rsidRPr="00E54F33" w14:paraId="4C877E27" w14:textId="77777777" w:rsidTr="003A4183">
        <w:trPr>
          <w:jc w:val="center"/>
        </w:trPr>
        <w:tc>
          <w:tcPr>
            <w:tcW w:w="2263" w:type="dxa"/>
            <w:shd w:val="clear" w:color="auto" w:fill="F4F6F9"/>
            <w:tcMar>
              <w:top w:w="60" w:type="dxa"/>
              <w:left w:w="100" w:type="dxa"/>
              <w:bottom w:w="60" w:type="dxa"/>
              <w:right w:w="100" w:type="dxa"/>
            </w:tcMar>
          </w:tcPr>
          <w:p w14:paraId="40DCA1B4" w14:textId="77777777" w:rsidR="002E1FD6" w:rsidRPr="00E54F33" w:rsidRDefault="002E1FD6" w:rsidP="003A4183">
            <w:pPr>
              <w:spacing w:before="40" w:after="40"/>
            </w:pPr>
            <w:r>
              <w:rPr>
                <w:sz w:val="18"/>
              </w:rPr>
              <w:t>Balanceador de Carga</w:t>
            </w:r>
          </w:p>
        </w:tc>
        <w:tc>
          <w:tcPr>
            <w:tcW w:w="993" w:type="dxa"/>
            <w:shd w:val="clear" w:color="auto" w:fill="F4F6F9"/>
            <w:tcMar>
              <w:top w:w="60" w:type="dxa"/>
              <w:left w:w="100" w:type="dxa"/>
              <w:bottom w:w="60" w:type="dxa"/>
              <w:right w:w="100" w:type="dxa"/>
            </w:tcMar>
          </w:tcPr>
          <w:p w14:paraId="6B3453C0" w14:textId="77777777" w:rsidR="002E1FD6" w:rsidRPr="00E54F33" w:rsidRDefault="002E1FD6" w:rsidP="003A4183">
            <w:pPr>
              <w:spacing w:before="40" w:after="40"/>
            </w:pPr>
            <w:r>
              <w:rPr>
                <w:sz w:val="18"/>
              </w:rPr>
              <w:t>1</w:t>
            </w:r>
          </w:p>
        </w:tc>
        <w:tc>
          <w:tcPr>
            <w:tcW w:w="1842" w:type="dxa"/>
            <w:shd w:val="clear" w:color="auto" w:fill="F4F6F9"/>
            <w:tcMar>
              <w:top w:w="60" w:type="dxa"/>
              <w:left w:w="100" w:type="dxa"/>
              <w:bottom w:w="60" w:type="dxa"/>
              <w:right w:w="100" w:type="dxa"/>
            </w:tcMar>
          </w:tcPr>
          <w:p w14:paraId="517DD307" w14:textId="77777777" w:rsidR="002E1FD6" w:rsidRPr="00E54F33" w:rsidRDefault="002E1FD6" w:rsidP="003A4183">
            <w:pPr>
              <w:spacing w:before="40" w:after="40"/>
            </w:pPr>
            <w:r>
              <w:rPr>
                <w:sz w:val="18"/>
              </w:rPr>
              <w:t>IaaS (Infraestructura)</w:t>
            </w:r>
          </w:p>
        </w:tc>
        <w:tc>
          <w:tcPr>
            <w:tcW w:w="1418" w:type="dxa"/>
            <w:shd w:val="clear" w:color="auto" w:fill="F4F6F9"/>
            <w:tcMar>
              <w:top w:w="60" w:type="dxa"/>
              <w:left w:w="100" w:type="dxa"/>
              <w:bottom w:w="60" w:type="dxa"/>
              <w:right w:w="100" w:type="dxa"/>
            </w:tcMar>
          </w:tcPr>
          <w:p w14:paraId="63158B22" w14:textId="77777777" w:rsidR="002E1FD6" w:rsidRPr="00E54F33" w:rsidRDefault="002E1FD6" w:rsidP="003A4183">
            <w:pPr>
              <w:spacing w:before="40" w:after="40"/>
            </w:pPr>
            <w:r>
              <w:rPr>
                <w:sz w:val="18"/>
              </w:rPr>
              <w:t>ACTIVO (100%)</w:t>
            </w:r>
          </w:p>
        </w:tc>
      </w:tr>
    </w:tbl>
    <w:p w14:paraId="04FF801A" w14:textId="77777777" w:rsidR="002E1FD6" w:rsidRPr="00E54F33" w:rsidRDefault="002E1FD6" w:rsidP="002E1FD6">
      <w:pPr>
        <w:jc w:val="both"/>
        <w:rPr>
          <w:rFonts w:ascii="Arial" w:hAnsi="Arial" w:cs="Arial"/>
        </w:rPr>
      </w:pPr>
    </w:p>
    <w:p w14:paraId="58E2286E" w14:textId="77777777" w:rsidR="002E1FD6" w:rsidRPr="00E54F33" w:rsidRDefault="002E1FD6" w:rsidP="002E1FD6">
      <w:pPr>
        <w:keepNext/>
        <w:keepLines/>
        <w:jc w:val="both"/>
        <w:rPr>
          <w:rFonts w:ascii="Arial" w:eastAsia="Times New Roman" w:hAnsi="Arial" w:cs="Arial"/>
          <w:b/>
          <w:bCs/>
          <w:color w:val="2E75B6"/>
          <w:kern w:val="0"/>
          <w:sz w:val="24"/>
          <w:szCs w:val="24"/>
          <w:lang w:eastAsia="es-CO"/>
          <w14:ligatures w14:val="none"/>
        </w:rPr>
      </w:pPr>
      <w:r>
        <w:rPr>
          <w:rFonts w:ascii="Arial" w:eastAsia="Times New Roman" w:hAnsi="Arial" w:cs="Arial"/>
          <w:b/>
          <w:bCs/>
          <w:color w:val="2E75B6"/>
          <w:kern w:val="0"/>
          <w:sz w:val="24"/>
          <w:szCs w:val="24"/>
          <w:lang w:eastAsia="es-CO"/>
          <w14:ligatures w14:val="none"/>
        </w:rPr>
        <w:t>Hallazgos principales.</w:t>
      </w:r>
    </w:p>
    <w:p w14:paraId="7735ECA2" w14:textId="77777777" w:rsidR="002E1FD6" w:rsidRPr="00E54F33" w:rsidRDefault="002E1FD6" w:rsidP="002E1FD6">
      <w:pPr>
        <w:spacing w:after="120"/>
        <w:rPr>
          <w:rFonts w:ascii="Arial" w:hAnsi="Arial" w:cs="Arial"/>
        </w:rPr>
      </w:pPr>
      <w:r>
        <w:rPr>
          <w:rFonts w:ascii="Arial" w:hAnsi="Arial" w:cs="Arial"/>
        </w:rPr>
        <w:t>Al efectuar la correlación de datos, verificación de marcas, arquitecturas de red y esquemas de licenciamiento expresados en el reporte de FENOGE, se evidencian hallazgos de alta relevancia técnica:</w:t>
      </w:r>
    </w:p>
    <w:p w14:paraId="6AC3F989" w14:textId="77777777" w:rsidR="002E1FD6" w:rsidRPr="00E54F33" w:rsidRDefault="002E1FD6" w:rsidP="002E1FD6">
      <w:pPr>
        <w:spacing w:after="120"/>
        <w:rPr>
          <w:rFonts w:ascii="Arial" w:hAnsi="Arial" w:cs="Arial"/>
        </w:rPr>
      </w:pPr>
    </w:p>
    <w:p w14:paraId="7B48F22E" w14:textId="77777777" w:rsidR="002E1FD6" w:rsidRPr="00E54F33" w:rsidRDefault="002E1FD6" w:rsidP="002E1FD6">
      <w:pPr>
        <w:pStyle w:val="Prrafodelista"/>
        <w:numPr>
          <w:ilvl w:val="0"/>
          <w:numId w:val="19"/>
        </w:numPr>
        <w:spacing w:after="80"/>
        <w:ind w:left="426"/>
        <w:rPr>
          <w:rFonts w:ascii="Arial" w:hAnsi="Arial" w:cs="Arial"/>
        </w:rPr>
      </w:pPr>
      <w:r>
        <w:rPr>
          <w:rFonts w:ascii="Arial" w:eastAsia="Times New Roman" w:hAnsi="Arial" w:cs="Arial"/>
          <w:b/>
          <w:bCs/>
          <w:color w:val="2E75B6"/>
          <w:kern w:val="0"/>
          <w:sz w:val="24"/>
          <w:szCs w:val="24"/>
          <w:lang w:eastAsia="es-CO"/>
          <w14:ligatures w14:val="none"/>
        </w:rPr>
        <w:t>Violación de Unicidad de Identificadores (</w:t>
      </w:r>
      <w:proofErr w:type="spellStart"/>
      <w:r>
        <w:rPr>
          <w:rFonts w:ascii="Arial" w:eastAsia="Times New Roman" w:hAnsi="Arial" w:cs="Arial"/>
          <w:b/>
          <w:bCs/>
          <w:color w:val="2E75B6"/>
          <w:kern w:val="0"/>
          <w:sz w:val="24"/>
          <w:szCs w:val="24"/>
          <w:lang w:eastAsia="es-CO"/>
          <w14:ligatures w14:val="none"/>
        </w:rPr>
        <w:t>IDs</w:t>
      </w:r>
      <w:proofErr w:type="spellEnd"/>
      <w:r>
        <w:rPr>
          <w:rFonts w:ascii="Arial" w:eastAsia="Times New Roman" w:hAnsi="Arial" w:cs="Arial"/>
          <w:b/>
          <w:bCs/>
          <w:color w:val="2E75B6"/>
          <w:kern w:val="0"/>
          <w:sz w:val="24"/>
          <w:szCs w:val="24"/>
          <w:lang w:eastAsia="es-CO"/>
          <w14:ligatures w14:val="none"/>
        </w:rPr>
        <w:t xml:space="preserve"> Duplicados):</w:t>
      </w:r>
      <w:r>
        <w:rPr>
          <w:rFonts w:ascii="Arial" w:hAnsi="Arial" w:cs="Arial"/>
          <w:b/>
          <w:color w:val="003366"/>
        </w:rPr>
        <w:t xml:space="preserve"> </w:t>
      </w:r>
    </w:p>
    <w:p w14:paraId="387FC0C1" w14:textId="77777777" w:rsidR="002E1FD6" w:rsidRPr="00E54F33" w:rsidRDefault="002E1FD6" w:rsidP="002E1FD6">
      <w:pPr>
        <w:pStyle w:val="Prrafodelista"/>
        <w:spacing w:after="80"/>
        <w:ind w:left="426"/>
        <w:jc w:val="both"/>
        <w:rPr>
          <w:rFonts w:ascii="Arial" w:hAnsi="Arial" w:cs="Arial"/>
          <w:color w:val="222222"/>
        </w:rPr>
      </w:pPr>
      <w:r>
        <w:rPr>
          <w:rFonts w:ascii="Arial" w:hAnsi="Arial" w:cs="Arial"/>
          <w:color w:val="222222"/>
        </w:rPr>
        <w:t xml:space="preserve">Se identificó que la entidad reutilizó identificadores únicos para dispositivos completamente independientes con seriales distintos. Por ejemplo, el ID 'EIT_FNG_2025_F_37174' fue asignado simultáneamente a un Access Point </w:t>
      </w:r>
      <w:proofErr w:type="spellStart"/>
      <w:r>
        <w:rPr>
          <w:rFonts w:ascii="Arial" w:hAnsi="Arial" w:cs="Arial"/>
          <w:color w:val="222222"/>
        </w:rPr>
        <w:t>Aerohive</w:t>
      </w:r>
      <w:proofErr w:type="spellEnd"/>
      <w:r>
        <w:rPr>
          <w:rFonts w:ascii="Arial" w:hAnsi="Arial" w:cs="Arial"/>
          <w:color w:val="222222"/>
        </w:rPr>
        <w:t xml:space="preserve"> AP130 (Serial 01301704283843) y a un Access Point </w:t>
      </w:r>
      <w:proofErr w:type="spellStart"/>
      <w:r>
        <w:rPr>
          <w:rFonts w:ascii="Arial" w:hAnsi="Arial" w:cs="Arial"/>
          <w:color w:val="222222"/>
        </w:rPr>
        <w:t>Ruckus</w:t>
      </w:r>
      <w:proofErr w:type="spellEnd"/>
      <w:r>
        <w:rPr>
          <w:rFonts w:ascii="Arial" w:hAnsi="Arial" w:cs="Arial"/>
          <w:color w:val="222222"/>
        </w:rPr>
        <w:t xml:space="preserve"> R750 (Serial 201043G040044573). Ocurre la misma falla con los </w:t>
      </w:r>
      <w:proofErr w:type="spellStart"/>
      <w:r>
        <w:rPr>
          <w:rFonts w:ascii="Arial" w:hAnsi="Arial" w:cs="Arial"/>
          <w:color w:val="222222"/>
        </w:rPr>
        <w:t>IDs</w:t>
      </w:r>
      <w:proofErr w:type="spellEnd"/>
      <w:r>
        <w:rPr>
          <w:rFonts w:ascii="Arial" w:hAnsi="Arial" w:cs="Arial"/>
          <w:color w:val="222222"/>
        </w:rPr>
        <w:t xml:space="preserve"> F_37175 y F_37176. Igualmente, el ID 'EIT_FNG_2025_F_37172' se asignó tanto a un Access Point </w:t>
      </w:r>
      <w:proofErr w:type="spellStart"/>
      <w:r>
        <w:rPr>
          <w:rFonts w:ascii="Arial" w:hAnsi="Arial" w:cs="Arial"/>
          <w:color w:val="222222"/>
        </w:rPr>
        <w:t>Aerohive</w:t>
      </w:r>
      <w:proofErr w:type="spellEnd"/>
      <w:r>
        <w:rPr>
          <w:rFonts w:ascii="Arial" w:hAnsi="Arial" w:cs="Arial"/>
          <w:color w:val="222222"/>
        </w:rPr>
        <w:t xml:space="preserve"> como al Firewall Fortinet </w:t>
      </w:r>
      <w:proofErr w:type="spellStart"/>
      <w:r>
        <w:rPr>
          <w:rFonts w:ascii="Arial" w:hAnsi="Arial" w:cs="Arial"/>
          <w:color w:val="222222"/>
        </w:rPr>
        <w:t>FortiGate</w:t>
      </w:r>
      <w:proofErr w:type="spellEnd"/>
      <w:r>
        <w:rPr>
          <w:rFonts w:ascii="Arial" w:hAnsi="Arial" w:cs="Arial"/>
          <w:color w:val="222222"/>
        </w:rPr>
        <w:t xml:space="preserve"> 400E.</w:t>
      </w:r>
    </w:p>
    <w:p w14:paraId="18127146" w14:textId="77777777" w:rsidR="002E1FD6" w:rsidRPr="00E54F33" w:rsidRDefault="002E1FD6" w:rsidP="002E1FD6">
      <w:pPr>
        <w:pStyle w:val="Prrafodelista"/>
        <w:spacing w:after="80"/>
        <w:ind w:left="426"/>
        <w:jc w:val="both"/>
        <w:rPr>
          <w:rFonts w:ascii="Arial" w:hAnsi="Arial" w:cs="Arial"/>
        </w:rPr>
      </w:pPr>
    </w:p>
    <w:p w14:paraId="16905702" w14:textId="77777777" w:rsidR="002E1FD6" w:rsidRPr="00E54F33" w:rsidRDefault="002E1FD6" w:rsidP="002E1FD6">
      <w:pPr>
        <w:pStyle w:val="Prrafodelista"/>
        <w:numPr>
          <w:ilvl w:val="0"/>
          <w:numId w:val="19"/>
        </w:numPr>
        <w:spacing w:after="80"/>
        <w:ind w:left="426"/>
        <w:jc w:val="both"/>
        <w:rPr>
          <w:rFonts w:ascii="Arial" w:hAnsi="Arial" w:cs="Arial"/>
        </w:rPr>
      </w:pPr>
      <w:r>
        <w:rPr>
          <w:rFonts w:ascii="Arial" w:eastAsia="Times New Roman" w:hAnsi="Arial" w:cs="Arial"/>
          <w:b/>
          <w:bCs/>
          <w:color w:val="2E75B6"/>
          <w:kern w:val="0"/>
          <w:sz w:val="24"/>
          <w:szCs w:val="24"/>
          <w:lang w:eastAsia="es-CO"/>
          <w14:ligatures w14:val="none"/>
        </w:rPr>
        <w:t>Conflicto y Falta de Redundancia Real en Capa de Seguridad (Firewalls):</w:t>
      </w:r>
      <w:r>
        <w:rPr>
          <w:rFonts w:ascii="Arial" w:hAnsi="Arial" w:cs="Arial"/>
          <w:b/>
          <w:color w:val="003366"/>
        </w:rPr>
        <w:t xml:space="preserve"> </w:t>
      </w:r>
      <w:r>
        <w:rPr>
          <w:rFonts w:ascii="Arial" w:hAnsi="Arial" w:cs="Arial"/>
          <w:color w:val="222222"/>
        </w:rPr>
        <w:t xml:space="preserve">Se reportan dos firewalls de marcas y arquitecturas totalmente distintas operando como </w:t>
      </w:r>
      <w:r>
        <w:rPr>
          <w:rFonts w:ascii="Arial" w:hAnsi="Arial" w:cs="Arial"/>
          <w:color w:val="222222"/>
        </w:rPr>
        <w:lastRenderedPageBreak/>
        <w:t xml:space="preserve">'FW PRINCIPAL': un Sophos XGS 2100 (Serial X21010RC9GJ8J0F) y un Fortinet </w:t>
      </w:r>
      <w:proofErr w:type="spellStart"/>
      <w:r>
        <w:rPr>
          <w:rFonts w:ascii="Arial" w:hAnsi="Arial" w:cs="Arial"/>
          <w:color w:val="222222"/>
        </w:rPr>
        <w:t>FortiGate</w:t>
      </w:r>
      <w:proofErr w:type="spellEnd"/>
      <w:r>
        <w:rPr>
          <w:rFonts w:ascii="Arial" w:hAnsi="Arial" w:cs="Arial"/>
          <w:color w:val="222222"/>
        </w:rPr>
        <w:t xml:space="preserve"> 400E (Serial FGGH0ETB21901657). En la arquitectura de red no se clarifica si operan en un esquema activo-pasivo, balanceo de carga de borde o si responden a contratos de arrendamiento/</w:t>
      </w:r>
      <w:proofErr w:type="gramStart"/>
      <w:r>
        <w:rPr>
          <w:rFonts w:ascii="Arial" w:hAnsi="Arial" w:cs="Arial"/>
          <w:color w:val="222222"/>
        </w:rPr>
        <w:t>operación independientes</w:t>
      </w:r>
      <w:proofErr w:type="gramEnd"/>
      <w:r>
        <w:rPr>
          <w:rFonts w:ascii="Arial" w:hAnsi="Arial" w:cs="Arial"/>
          <w:color w:val="222222"/>
        </w:rPr>
        <w:t xml:space="preserve"> con el proveedor IFX Networks, imposibilitando validar la alta disponibilidad.</w:t>
      </w:r>
    </w:p>
    <w:p w14:paraId="3A66B3A1" w14:textId="77777777" w:rsidR="002E1FD6" w:rsidRPr="00E54F33" w:rsidRDefault="002E1FD6" w:rsidP="002E1FD6">
      <w:pPr>
        <w:pStyle w:val="Prrafodelista"/>
        <w:spacing w:after="80"/>
        <w:ind w:left="426"/>
        <w:jc w:val="both"/>
        <w:rPr>
          <w:rFonts w:ascii="Arial" w:hAnsi="Arial" w:cs="Arial"/>
        </w:rPr>
      </w:pPr>
    </w:p>
    <w:p w14:paraId="11060168" w14:textId="77777777" w:rsidR="002E1FD6" w:rsidRPr="00E54F33" w:rsidRDefault="002E1FD6" w:rsidP="002E1FD6">
      <w:pPr>
        <w:pStyle w:val="Prrafodelista"/>
        <w:numPr>
          <w:ilvl w:val="0"/>
          <w:numId w:val="19"/>
        </w:numPr>
        <w:spacing w:after="80" w:line="240" w:lineRule="auto"/>
        <w:ind w:left="426"/>
        <w:jc w:val="both"/>
        <w:rPr>
          <w:rFonts w:ascii="Arial" w:hAnsi="Arial" w:cs="Arial"/>
        </w:rPr>
      </w:pPr>
      <w:proofErr w:type="spellStart"/>
      <w:r>
        <w:rPr>
          <w:rFonts w:ascii="Arial" w:eastAsia="Times New Roman" w:hAnsi="Arial" w:cs="Arial"/>
          <w:b/>
          <w:bCs/>
          <w:color w:val="2E75B6"/>
          <w:kern w:val="0"/>
          <w:sz w:val="24"/>
          <w:szCs w:val="24"/>
          <w:lang w:eastAsia="es-CO"/>
          <w14:ligatures w14:val="none"/>
        </w:rPr>
        <w:t>Sub-reporte</w:t>
      </w:r>
      <w:proofErr w:type="spellEnd"/>
      <w:r>
        <w:rPr>
          <w:rFonts w:ascii="Arial" w:eastAsia="Times New Roman" w:hAnsi="Arial" w:cs="Arial"/>
          <w:b/>
          <w:bCs/>
          <w:color w:val="2E75B6"/>
          <w:kern w:val="0"/>
          <w:sz w:val="24"/>
          <w:szCs w:val="24"/>
          <w:lang w:eastAsia="es-CO"/>
          <w14:ligatures w14:val="none"/>
        </w:rPr>
        <w:t xml:space="preserve"> Extremo de Servidores y Sistemas Core:</w:t>
      </w:r>
      <w:r>
        <w:rPr>
          <w:rFonts w:ascii="Arial" w:hAnsi="Arial" w:cs="Arial"/>
          <w:b/>
          <w:color w:val="003366"/>
        </w:rPr>
        <w:t xml:space="preserve"> </w:t>
      </w:r>
    </w:p>
    <w:p w14:paraId="2E70A50F" w14:textId="77777777" w:rsidR="002E1FD6" w:rsidRPr="00E54F33" w:rsidRDefault="002E1FD6" w:rsidP="002E1FD6">
      <w:pPr>
        <w:pStyle w:val="Prrafodelista"/>
        <w:spacing w:after="80" w:line="240" w:lineRule="auto"/>
        <w:ind w:left="426"/>
        <w:jc w:val="both"/>
        <w:rPr>
          <w:rFonts w:ascii="Arial" w:hAnsi="Arial" w:cs="Arial"/>
          <w:color w:val="222222"/>
        </w:rPr>
      </w:pPr>
      <w:r>
        <w:rPr>
          <w:rFonts w:ascii="Arial" w:hAnsi="Arial" w:cs="Arial"/>
          <w:color w:val="222222"/>
        </w:rPr>
        <w:t>La entidad reporta únicamente UN (1) servidor virtual ('EIT_FNG_2025_L_0001') asociado al sistema SGD Orfeo/ARGO en entorno de pruebas y producción. Sin embargo, en la columna 'Sistema de Información que Impacta', 18 de los 19 elementos afirman impactar a 'TODOS' los sistemas de información. Es una contradicción técnica severa: no es factible que existan decenas de sistemas operando en la entidad sin infraestructura de servidores, bases de datos, almacenamiento (SAN/NAS) o controladores de dominio registrados.</w:t>
      </w:r>
    </w:p>
    <w:p w14:paraId="327905B8" w14:textId="77777777" w:rsidR="002E1FD6" w:rsidRPr="00E54F33" w:rsidRDefault="002E1FD6" w:rsidP="002E1FD6">
      <w:pPr>
        <w:pStyle w:val="Prrafodelista"/>
        <w:spacing w:after="80" w:line="240" w:lineRule="auto"/>
        <w:ind w:left="426"/>
        <w:jc w:val="both"/>
        <w:rPr>
          <w:rFonts w:ascii="Arial" w:hAnsi="Arial" w:cs="Arial"/>
        </w:rPr>
      </w:pPr>
    </w:p>
    <w:p w14:paraId="67DD3271" w14:textId="77777777" w:rsidR="002E1FD6" w:rsidRPr="00E54F33" w:rsidRDefault="002E1FD6" w:rsidP="002E1FD6">
      <w:pPr>
        <w:pStyle w:val="Prrafodelista"/>
        <w:numPr>
          <w:ilvl w:val="0"/>
          <w:numId w:val="19"/>
        </w:numPr>
        <w:spacing w:after="80" w:line="240" w:lineRule="auto"/>
        <w:ind w:left="426"/>
        <w:jc w:val="both"/>
        <w:rPr>
          <w:rFonts w:ascii="Arial" w:hAnsi="Arial" w:cs="Arial"/>
        </w:rPr>
      </w:pPr>
      <w:r>
        <w:rPr>
          <w:rFonts w:ascii="Arial" w:eastAsia="Times New Roman" w:hAnsi="Arial" w:cs="Arial"/>
          <w:b/>
          <w:bCs/>
          <w:color w:val="2E75B6"/>
          <w:kern w:val="0"/>
          <w:sz w:val="24"/>
          <w:szCs w:val="24"/>
          <w:lang w:eastAsia="es-CO"/>
          <w14:ligatures w14:val="none"/>
        </w:rPr>
        <w:t>Error Cualitativo en Clasificación de Modelo de Servicio (IaaS vs. SaaS):</w:t>
      </w:r>
    </w:p>
    <w:p w14:paraId="2BE507A6" w14:textId="77777777" w:rsidR="002E1FD6" w:rsidRPr="00E54F33" w:rsidRDefault="002E1FD6" w:rsidP="002E1FD6">
      <w:pPr>
        <w:pStyle w:val="Prrafodelista"/>
        <w:spacing w:after="80" w:line="240" w:lineRule="auto"/>
        <w:ind w:left="426"/>
        <w:jc w:val="both"/>
        <w:rPr>
          <w:rFonts w:ascii="Arial" w:hAnsi="Arial" w:cs="Arial"/>
          <w:color w:val="222222"/>
        </w:rPr>
      </w:pPr>
      <w:r>
        <w:rPr>
          <w:rFonts w:ascii="Arial" w:hAnsi="Arial" w:cs="Arial"/>
          <w:color w:val="222222"/>
        </w:rPr>
        <w:t xml:space="preserve">El Servidor Virtual EIT_FNG_2025_L_0001 (especificado con 8 </w:t>
      </w:r>
      <w:proofErr w:type="spellStart"/>
      <w:r>
        <w:rPr>
          <w:rFonts w:ascii="Arial" w:hAnsi="Arial" w:cs="Arial"/>
          <w:color w:val="222222"/>
        </w:rPr>
        <w:t>vCPU</w:t>
      </w:r>
      <w:proofErr w:type="spellEnd"/>
      <w:r>
        <w:rPr>
          <w:rFonts w:ascii="Arial" w:hAnsi="Arial" w:cs="Arial"/>
          <w:color w:val="222222"/>
        </w:rPr>
        <w:t xml:space="preserve">, 16GB RAM, SO </w:t>
      </w:r>
      <w:proofErr w:type="spellStart"/>
      <w:r>
        <w:rPr>
          <w:rFonts w:ascii="Arial" w:hAnsi="Arial" w:cs="Arial"/>
          <w:color w:val="222222"/>
        </w:rPr>
        <w:t>AlmaLinux</w:t>
      </w:r>
      <w:proofErr w:type="spellEnd"/>
      <w:r>
        <w:rPr>
          <w:rFonts w:ascii="Arial" w:hAnsi="Arial" w:cs="Arial"/>
          <w:color w:val="222222"/>
        </w:rPr>
        <w:t xml:space="preserve">/Rocky Linux) fue clasificado erróneamente como 'Software como Servicio (SaaS)', cuando conceptualmente corresponde a Infraestructura como Servicio (IaaS) o Plataforma (PaaS). A la inversa, un Balanceador de Carga </w:t>
      </w:r>
      <w:proofErr w:type="spellStart"/>
      <w:r>
        <w:rPr>
          <w:rFonts w:ascii="Arial" w:hAnsi="Arial" w:cs="Arial"/>
          <w:color w:val="222222"/>
        </w:rPr>
        <w:t>Ruckus</w:t>
      </w:r>
      <w:proofErr w:type="spellEnd"/>
      <w:r>
        <w:rPr>
          <w:rFonts w:ascii="Arial" w:hAnsi="Arial" w:cs="Arial"/>
          <w:color w:val="222222"/>
        </w:rPr>
        <w:t xml:space="preserve"> R560 fue registrado como IaaS, pero sus especificaciones corresponden a un punto de acceso/controlador </w:t>
      </w:r>
      <w:proofErr w:type="spellStart"/>
      <w:r>
        <w:rPr>
          <w:rFonts w:ascii="Arial" w:hAnsi="Arial" w:cs="Arial"/>
          <w:color w:val="222222"/>
        </w:rPr>
        <w:t>Wi</w:t>
      </w:r>
      <w:proofErr w:type="spellEnd"/>
      <w:r>
        <w:rPr>
          <w:rFonts w:ascii="Arial" w:hAnsi="Arial" w:cs="Arial"/>
          <w:color w:val="222222"/>
        </w:rPr>
        <w:t>-Fi 6.</w:t>
      </w:r>
    </w:p>
    <w:p w14:paraId="0C6322AE" w14:textId="77777777" w:rsidR="002E1FD6" w:rsidRPr="00E54F33" w:rsidRDefault="002E1FD6" w:rsidP="002E1FD6">
      <w:pPr>
        <w:pStyle w:val="Prrafodelista"/>
        <w:spacing w:after="80" w:line="240" w:lineRule="auto"/>
        <w:ind w:left="426"/>
        <w:jc w:val="both"/>
        <w:rPr>
          <w:rFonts w:ascii="Arial" w:hAnsi="Arial" w:cs="Arial"/>
        </w:rPr>
      </w:pPr>
    </w:p>
    <w:p w14:paraId="5236299A" w14:textId="77777777" w:rsidR="002E1FD6" w:rsidRPr="00E54F33" w:rsidRDefault="002E1FD6" w:rsidP="002E1FD6">
      <w:pPr>
        <w:pStyle w:val="Prrafodelista"/>
        <w:numPr>
          <w:ilvl w:val="0"/>
          <w:numId w:val="19"/>
        </w:numPr>
        <w:spacing w:after="80" w:line="240" w:lineRule="auto"/>
        <w:ind w:left="426"/>
        <w:jc w:val="both"/>
        <w:rPr>
          <w:rFonts w:ascii="Arial" w:hAnsi="Arial" w:cs="Arial"/>
        </w:rPr>
      </w:pPr>
      <w:r>
        <w:rPr>
          <w:rFonts w:ascii="Arial" w:eastAsia="Times New Roman" w:hAnsi="Arial" w:cs="Arial"/>
          <w:b/>
          <w:bCs/>
          <w:color w:val="2E75B6"/>
          <w:kern w:val="0"/>
          <w:sz w:val="24"/>
          <w:szCs w:val="24"/>
          <w:lang w:eastAsia="es-CO"/>
          <w14:ligatures w14:val="none"/>
        </w:rPr>
        <w:t xml:space="preserve">Obsolescencia Tecnológica Oculta en Equipamiento </w:t>
      </w:r>
      <w:proofErr w:type="spellStart"/>
      <w:r>
        <w:rPr>
          <w:rFonts w:ascii="Arial" w:eastAsia="Times New Roman" w:hAnsi="Arial" w:cs="Arial"/>
          <w:b/>
          <w:bCs/>
          <w:color w:val="2E75B6"/>
          <w:kern w:val="0"/>
          <w:sz w:val="24"/>
          <w:szCs w:val="24"/>
          <w:lang w:eastAsia="es-CO"/>
          <w14:ligatures w14:val="none"/>
        </w:rPr>
        <w:t>Legacy</w:t>
      </w:r>
      <w:proofErr w:type="spellEnd"/>
      <w:r>
        <w:rPr>
          <w:rFonts w:ascii="Arial" w:eastAsia="Times New Roman" w:hAnsi="Arial" w:cs="Arial"/>
          <w:b/>
          <w:bCs/>
          <w:color w:val="2E75B6"/>
          <w:kern w:val="0"/>
          <w:sz w:val="24"/>
          <w:szCs w:val="24"/>
          <w:lang w:eastAsia="es-CO"/>
          <w14:ligatures w14:val="none"/>
        </w:rPr>
        <w:t>:</w:t>
      </w:r>
      <w:r>
        <w:rPr>
          <w:rFonts w:ascii="Arial" w:hAnsi="Arial" w:cs="Arial"/>
          <w:b/>
          <w:color w:val="003366"/>
        </w:rPr>
        <w:t xml:space="preserve"> </w:t>
      </w:r>
    </w:p>
    <w:p w14:paraId="02E6E239" w14:textId="77777777" w:rsidR="002E1FD6" w:rsidRPr="00E54F33" w:rsidRDefault="002E1FD6" w:rsidP="002E1FD6">
      <w:pPr>
        <w:pStyle w:val="Prrafodelista"/>
        <w:spacing w:after="80" w:line="240" w:lineRule="auto"/>
        <w:ind w:left="426"/>
        <w:jc w:val="both"/>
        <w:rPr>
          <w:rFonts w:ascii="Arial" w:hAnsi="Arial" w:cs="Arial"/>
        </w:rPr>
      </w:pPr>
      <w:r>
        <w:rPr>
          <w:rFonts w:ascii="Arial" w:hAnsi="Arial" w:cs="Arial"/>
          <w:color w:val="222222"/>
        </w:rPr>
        <w:t xml:space="preserve">Los switches de borde reportados corresponden a la serie Juniper EX4200 (ID F_37161) y EX2200 (ID F_37162). Ambas referencias han alcanzado la fase de </w:t>
      </w:r>
      <w:proofErr w:type="spellStart"/>
      <w:r>
        <w:rPr>
          <w:rFonts w:ascii="Arial" w:hAnsi="Arial" w:cs="Arial"/>
          <w:color w:val="222222"/>
        </w:rPr>
        <w:t>End-of-Life</w:t>
      </w:r>
      <w:proofErr w:type="spellEnd"/>
      <w:r>
        <w:rPr>
          <w:rFonts w:ascii="Arial" w:hAnsi="Arial" w:cs="Arial"/>
          <w:color w:val="222222"/>
        </w:rPr>
        <w:t xml:space="preserve"> (</w:t>
      </w:r>
      <w:proofErr w:type="spellStart"/>
      <w:r>
        <w:rPr>
          <w:rFonts w:ascii="Arial" w:hAnsi="Arial" w:cs="Arial"/>
          <w:color w:val="222222"/>
        </w:rPr>
        <w:t>EoL</w:t>
      </w:r>
      <w:proofErr w:type="spellEnd"/>
      <w:r>
        <w:rPr>
          <w:rFonts w:ascii="Arial" w:hAnsi="Arial" w:cs="Arial"/>
          <w:color w:val="222222"/>
        </w:rPr>
        <w:t xml:space="preserve">) y </w:t>
      </w:r>
      <w:proofErr w:type="spellStart"/>
      <w:r>
        <w:rPr>
          <w:rFonts w:ascii="Arial" w:hAnsi="Arial" w:cs="Arial"/>
          <w:color w:val="222222"/>
        </w:rPr>
        <w:t>End-of-Support</w:t>
      </w:r>
      <w:proofErr w:type="spellEnd"/>
      <w:r>
        <w:rPr>
          <w:rFonts w:ascii="Arial" w:hAnsi="Arial" w:cs="Arial"/>
          <w:color w:val="222222"/>
        </w:rPr>
        <w:t xml:space="preserve"> (</w:t>
      </w:r>
      <w:proofErr w:type="spellStart"/>
      <w:r>
        <w:rPr>
          <w:rFonts w:ascii="Arial" w:hAnsi="Arial" w:cs="Arial"/>
          <w:color w:val="222222"/>
        </w:rPr>
        <w:t>EoS</w:t>
      </w:r>
      <w:proofErr w:type="spellEnd"/>
      <w:r>
        <w:rPr>
          <w:rFonts w:ascii="Arial" w:hAnsi="Arial" w:cs="Arial"/>
          <w:color w:val="222222"/>
        </w:rPr>
        <w:t>) por parte del fabricante Juniper Networks, lo que implica ausencia de parches de seguridad de firmware y elevado riesgo operativo.</w:t>
      </w:r>
    </w:p>
    <w:p w14:paraId="6E81600C" w14:textId="77777777" w:rsidR="002E1FD6" w:rsidRPr="00E54F33" w:rsidRDefault="002E1FD6" w:rsidP="002E1FD6">
      <w:pPr>
        <w:jc w:val="both"/>
        <w:rPr>
          <w:rFonts w:ascii="Arial" w:hAnsi="Arial" w:cs="Arial"/>
        </w:rPr>
      </w:pPr>
    </w:p>
    <w:p w14:paraId="744EA72B" w14:textId="77777777" w:rsidR="002E1FD6" w:rsidRPr="00E54F33" w:rsidRDefault="002E1FD6" w:rsidP="002E1FD6">
      <w:pPr>
        <w:jc w:val="both"/>
        <w:rPr>
          <w:rFonts w:ascii="Arial" w:hAnsi="Arial" w:cs="Arial"/>
          <w:b/>
          <w:bCs/>
          <w:sz w:val="24"/>
          <w:szCs w:val="24"/>
        </w:rPr>
      </w:pPr>
    </w:p>
    <w:p w14:paraId="0870024D" w14:textId="77777777" w:rsidR="002E1FD6" w:rsidRPr="00E54F33" w:rsidRDefault="002E1FD6" w:rsidP="002E1FD6">
      <w:pPr>
        <w:jc w:val="both"/>
        <w:rPr>
          <w:rFonts w:ascii="Arial" w:hAnsi="Arial" w:cs="Arial"/>
          <w:b/>
          <w:bCs/>
          <w:sz w:val="24"/>
          <w:szCs w:val="24"/>
        </w:rPr>
      </w:pPr>
    </w:p>
    <w:p w14:paraId="4C150A2E" w14:textId="77777777" w:rsidR="002E1FD6" w:rsidRPr="00E54F33" w:rsidRDefault="002E1FD6" w:rsidP="002E1FD6">
      <w:pPr>
        <w:jc w:val="both"/>
        <w:rPr>
          <w:rFonts w:ascii="Arial" w:hAnsi="Arial" w:cs="Arial"/>
          <w:b/>
          <w:bCs/>
          <w:sz w:val="24"/>
          <w:szCs w:val="24"/>
        </w:rPr>
      </w:pPr>
    </w:p>
    <w:p w14:paraId="5E34681E" w14:textId="77777777" w:rsidR="002E1FD6" w:rsidRPr="00E54F33" w:rsidRDefault="002E1FD6" w:rsidP="002E1FD6">
      <w:pPr>
        <w:jc w:val="both"/>
        <w:rPr>
          <w:rFonts w:ascii="Arial" w:hAnsi="Arial" w:cs="Arial"/>
          <w:b/>
          <w:bCs/>
          <w:sz w:val="24"/>
          <w:szCs w:val="24"/>
        </w:rPr>
      </w:pPr>
    </w:p>
    <w:p w14:paraId="1B8B25D6" w14:textId="77777777" w:rsidR="002E1FD6" w:rsidRPr="00E54F33" w:rsidRDefault="002E1FD6" w:rsidP="002E1FD6">
      <w:pPr>
        <w:jc w:val="both"/>
        <w:rPr>
          <w:rFonts w:ascii="Arial" w:hAnsi="Arial" w:cs="Arial"/>
          <w:b/>
          <w:bCs/>
          <w:sz w:val="24"/>
          <w:szCs w:val="24"/>
        </w:rPr>
      </w:pPr>
    </w:p>
    <w:p w14:paraId="44373B8A" w14:textId="77777777" w:rsidR="002E1FD6" w:rsidRPr="00E54F33" w:rsidRDefault="002E1FD6" w:rsidP="002E1FD6">
      <w:pPr>
        <w:jc w:val="both"/>
        <w:rPr>
          <w:rFonts w:ascii="Arial" w:hAnsi="Arial" w:cs="Arial"/>
          <w:b/>
          <w:bCs/>
          <w:sz w:val="24"/>
          <w:szCs w:val="24"/>
        </w:rPr>
      </w:pPr>
    </w:p>
    <w:p w14:paraId="15F3EAD6" w14:textId="77777777" w:rsidR="002E1FD6" w:rsidRPr="00E54F33" w:rsidRDefault="002E1FD6" w:rsidP="002E1FD6">
      <w:pPr>
        <w:jc w:val="both"/>
        <w:rPr>
          <w:rFonts w:ascii="Arial" w:hAnsi="Arial" w:cs="Arial"/>
          <w:b/>
          <w:bCs/>
          <w:sz w:val="24"/>
          <w:szCs w:val="24"/>
        </w:rPr>
      </w:pPr>
    </w:p>
    <w:p w14:paraId="4984D514" w14:textId="77777777" w:rsidR="002E1FD6" w:rsidRPr="00E54F33" w:rsidRDefault="002E1FD6" w:rsidP="002E1FD6">
      <w:pPr>
        <w:jc w:val="both"/>
        <w:rPr>
          <w:rFonts w:ascii="Arial" w:hAnsi="Arial" w:cs="Arial"/>
          <w:b/>
          <w:bCs/>
          <w:sz w:val="24"/>
          <w:szCs w:val="24"/>
        </w:rPr>
      </w:pPr>
    </w:p>
    <w:p w14:paraId="07EF4918" w14:textId="77777777" w:rsidR="002E1FD6" w:rsidRPr="00E54F33" w:rsidRDefault="002E1FD6" w:rsidP="002E1FD6">
      <w:pPr>
        <w:jc w:val="both"/>
        <w:rPr>
          <w:rFonts w:ascii="Arial" w:hAnsi="Arial" w:cs="Arial"/>
          <w:b/>
          <w:bCs/>
          <w:sz w:val="24"/>
          <w:szCs w:val="24"/>
        </w:rPr>
      </w:pPr>
    </w:p>
    <w:p w14:paraId="01D3D59F" w14:textId="77777777" w:rsidR="002E1FD6" w:rsidRPr="00E54F33" w:rsidRDefault="002E1FD6" w:rsidP="002E1FD6">
      <w:pPr>
        <w:keepNext/>
        <w:keepLines/>
        <w:jc w:val="both"/>
        <w:rPr>
          <w:rFonts w:ascii="Arial" w:hAnsi="Arial" w:cs="Arial"/>
          <w:b/>
          <w:bCs/>
          <w:sz w:val="24"/>
          <w:szCs w:val="24"/>
        </w:rPr>
      </w:pPr>
      <w:r>
        <w:rPr>
          <w:rFonts w:ascii="Arial" w:hAnsi="Arial" w:cs="Arial"/>
          <w:b/>
          <w:bCs/>
          <w:sz w:val="24"/>
          <w:szCs w:val="24"/>
        </w:rPr>
        <w:lastRenderedPageBreak/>
        <w:t>2.6 AGENCIA NACIONAL DE MINERÍA (ANM).</w:t>
      </w:r>
    </w:p>
    <w:p w14:paraId="36B6D535"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1F1E1EAF" w14:textId="77777777" w:rsidR="002E1FD6" w:rsidRPr="00E54F33" w:rsidRDefault="002E1FD6" w:rsidP="002E1FD6">
      <w:pPr>
        <w:jc w:val="both"/>
        <w:rPr>
          <w:rFonts w:ascii="Arial" w:hAnsi="Arial" w:cs="Arial"/>
        </w:rPr>
      </w:pPr>
      <w:r>
        <w:rPr>
          <w:rFonts w:ascii="Arial" w:hAnsi="Arial" w:cs="Arial"/>
        </w:rPr>
        <w:t>El catálogo presentado por la ANM está compuesto por siete (7) categorías de elementos de infraestructura: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992"/>
        <w:gridCol w:w="1559"/>
        <w:gridCol w:w="2646"/>
      </w:tblGrid>
      <w:tr w:rsidR="002E1FD6" w:rsidRPr="00E54F33" w14:paraId="385DE554" w14:textId="77777777" w:rsidTr="003A4183">
        <w:trPr>
          <w:jc w:val="center"/>
        </w:trPr>
        <w:tc>
          <w:tcPr>
            <w:tcW w:w="2547" w:type="dxa"/>
            <w:shd w:val="clear" w:color="auto" w:fill="102C57"/>
          </w:tcPr>
          <w:p w14:paraId="618BF48B" w14:textId="77777777" w:rsidR="002E1FD6" w:rsidRPr="00E54F33" w:rsidRDefault="002E1FD6" w:rsidP="003A4183">
            <w:pPr>
              <w:spacing w:before="80" w:after="80"/>
              <w:jc w:val="center"/>
            </w:pPr>
            <w:r>
              <w:rPr>
                <w:b/>
                <w:color w:val="FFFFFF"/>
                <w:sz w:val="19"/>
              </w:rPr>
              <w:t>Tipo de Elemento</w:t>
            </w:r>
          </w:p>
        </w:tc>
        <w:tc>
          <w:tcPr>
            <w:tcW w:w="992" w:type="dxa"/>
            <w:shd w:val="clear" w:color="auto" w:fill="102C57"/>
          </w:tcPr>
          <w:p w14:paraId="51315196" w14:textId="77777777" w:rsidR="002E1FD6" w:rsidRPr="00E54F33" w:rsidRDefault="002E1FD6" w:rsidP="003A4183">
            <w:pPr>
              <w:spacing w:before="80" w:after="80"/>
              <w:jc w:val="center"/>
            </w:pPr>
            <w:r>
              <w:rPr>
                <w:b/>
                <w:color w:val="FFFFFF"/>
                <w:sz w:val="19"/>
              </w:rPr>
              <w:t>Cantidad</w:t>
            </w:r>
          </w:p>
        </w:tc>
        <w:tc>
          <w:tcPr>
            <w:tcW w:w="1559" w:type="dxa"/>
            <w:shd w:val="clear" w:color="auto" w:fill="102C57"/>
          </w:tcPr>
          <w:p w14:paraId="6C13C034" w14:textId="77777777" w:rsidR="002E1FD6" w:rsidRPr="00E54F33" w:rsidRDefault="002E1FD6" w:rsidP="003A4183">
            <w:pPr>
              <w:spacing w:before="80" w:after="80"/>
              <w:jc w:val="center"/>
            </w:pPr>
            <w:r>
              <w:rPr>
                <w:b/>
                <w:color w:val="FFFFFF"/>
                <w:sz w:val="19"/>
              </w:rPr>
              <w:t>Participación (%)</w:t>
            </w:r>
          </w:p>
        </w:tc>
        <w:tc>
          <w:tcPr>
            <w:tcW w:w="2646" w:type="dxa"/>
            <w:shd w:val="clear" w:color="auto" w:fill="102C57"/>
          </w:tcPr>
          <w:p w14:paraId="4CC18D7D" w14:textId="77777777" w:rsidR="002E1FD6" w:rsidRPr="00E54F33" w:rsidRDefault="002E1FD6" w:rsidP="003A4183">
            <w:pPr>
              <w:spacing w:before="80" w:after="80"/>
              <w:jc w:val="center"/>
            </w:pPr>
            <w:r>
              <w:rPr>
                <w:b/>
                <w:color w:val="FFFFFF"/>
                <w:sz w:val="19"/>
              </w:rPr>
              <w:t>Modelo de Despliegue Dominante</w:t>
            </w:r>
          </w:p>
        </w:tc>
      </w:tr>
      <w:tr w:rsidR="002E1FD6" w:rsidRPr="00E54F33" w14:paraId="7A33656F" w14:textId="77777777" w:rsidTr="003A4183">
        <w:trPr>
          <w:jc w:val="center"/>
        </w:trPr>
        <w:tc>
          <w:tcPr>
            <w:tcW w:w="2547" w:type="dxa"/>
            <w:shd w:val="clear" w:color="auto" w:fill="FFFFFF"/>
          </w:tcPr>
          <w:p w14:paraId="05339718" w14:textId="77777777" w:rsidR="002E1FD6" w:rsidRPr="00E54F33" w:rsidRDefault="002E1FD6" w:rsidP="003A4183">
            <w:pPr>
              <w:spacing w:before="60" w:after="60"/>
            </w:pPr>
            <w:r>
              <w:rPr>
                <w:sz w:val="18"/>
              </w:rPr>
              <w:t>Servidor Virtual</w:t>
            </w:r>
          </w:p>
        </w:tc>
        <w:tc>
          <w:tcPr>
            <w:tcW w:w="992" w:type="dxa"/>
            <w:shd w:val="clear" w:color="auto" w:fill="FFFFFF"/>
          </w:tcPr>
          <w:p w14:paraId="27382373" w14:textId="77777777" w:rsidR="002E1FD6" w:rsidRPr="00E54F33" w:rsidRDefault="002E1FD6" w:rsidP="003A4183">
            <w:pPr>
              <w:spacing w:before="60" w:after="60"/>
              <w:jc w:val="center"/>
            </w:pPr>
            <w:r>
              <w:rPr>
                <w:sz w:val="18"/>
              </w:rPr>
              <w:t>238</w:t>
            </w:r>
          </w:p>
        </w:tc>
        <w:tc>
          <w:tcPr>
            <w:tcW w:w="1559" w:type="dxa"/>
            <w:shd w:val="clear" w:color="auto" w:fill="FFFFFF"/>
          </w:tcPr>
          <w:p w14:paraId="2FB4C14E" w14:textId="77777777" w:rsidR="002E1FD6" w:rsidRPr="00E54F33" w:rsidRDefault="002E1FD6" w:rsidP="003A4183">
            <w:pPr>
              <w:spacing w:before="60" w:after="60"/>
              <w:jc w:val="center"/>
            </w:pPr>
            <w:r>
              <w:rPr>
                <w:sz w:val="18"/>
              </w:rPr>
              <w:t>55.5%</w:t>
            </w:r>
          </w:p>
        </w:tc>
        <w:tc>
          <w:tcPr>
            <w:tcW w:w="2646" w:type="dxa"/>
            <w:shd w:val="clear" w:color="auto" w:fill="FFFFFF"/>
          </w:tcPr>
          <w:p w14:paraId="44688E99" w14:textId="77777777" w:rsidR="002E1FD6" w:rsidRPr="00E54F33" w:rsidRDefault="002E1FD6" w:rsidP="003A4183">
            <w:pPr>
              <w:spacing w:before="60" w:after="60"/>
            </w:pPr>
            <w:r>
              <w:rPr>
                <w:sz w:val="18"/>
              </w:rPr>
              <w:t xml:space="preserve">Híbrido (146 IaaS Nube / 92 </w:t>
            </w:r>
            <w:proofErr w:type="spellStart"/>
            <w:r>
              <w:rPr>
                <w:sz w:val="18"/>
              </w:rPr>
              <w:t>On</w:t>
            </w:r>
            <w:proofErr w:type="spellEnd"/>
            <w:r>
              <w:rPr>
                <w:sz w:val="18"/>
              </w:rPr>
              <w:t>-Premises)</w:t>
            </w:r>
          </w:p>
        </w:tc>
      </w:tr>
      <w:tr w:rsidR="002E1FD6" w:rsidRPr="00E54F33" w14:paraId="68F7092E" w14:textId="77777777" w:rsidTr="003A4183">
        <w:trPr>
          <w:jc w:val="center"/>
        </w:trPr>
        <w:tc>
          <w:tcPr>
            <w:tcW w:w="2547" w:type="dxa"/>
            <w:shd w:val="clear" w:color="auto" w:fill="F4F6F9"/>
          </w:tcPr>
          <w:p w14:paraId="20C75C12" w14:textId="77777777" w:rsidR="002E1FD6" w:rsidRPr="00E54F33" w:rsidRDefault="002E1FD6" w:rsidP="003A4183">
            <w:pPr>
              <w:spacing w:before="60" w:after="60"/>
            </w:pPr>
            <w:r>
              <w:rPr>
                <w:sz w:val="18"/>
              </w:rPr>
              <w:t>Switch de Red</w:t>
            </w:r>
          </w:p>
        </w:tc>
        <w:tc>
          <w:tcPr>
            <w:tcW w:w="992" w:type="dxa"/>
            <w:shd w:val="clear" w:color="auto" w:fill="F4F6F9"/>
          </w:tcPr>
          <w:p w14:paraId="1B23E50D" w14:textId="77777777" w:rsidR="002E1FD6" w:rsidRPr="00E54F33" w:rsidRDefault="002E1FD6" w:rsidP="003A4183">
            <w:pPr>
              <w:spacing w:before="60" w:after="60"/>
              <w:jc w:val="center"/>
            </w:pPr>
            <w:r>
              <w:rPr>
                <w:sz w:val="18"/>
              </w:rPr>
              <w:t>92</w:t>
            </w:r>
          </w:p>
        </w:tc>
        <w:tc>
          <w:tcPr>
            <w:tcW w:w="1559" w:type="dxa"/>
            <w:shd w:val="clear" w:color="auto" w:fill="F4F6F9"/>
          </w:tcPr>
          <w:p w14:paraId="4B16D447" w14:textId="77777777" w:rsidR="002E1FD6" w:rsidRPr="00E54F33" w:rsidRDefault="002E1FD6" w:rsidP="003A4183">
            <w:pPr>
              <w:spacing w:before="60" w:after="60"/>
              <w:jc w:val="center"/>
            </w:pPr>
            <w:r>
              <w:rPr>
                <w:sz w:val="18"/>
              </w:rPr>
              <w:t>21.4%</w:t>
            </w:r>
          </w:p>
        </w:tc>
        <w:tc>
          <w:tcPr>
            <w:tcW w:w="2646" w:type="dxa"/>
            <w:shd w:val="clear" w:color="auto" w:fill="F4F6F9"/>
          </w:tcPr>
          <w:p w14:paraId="45DA763E"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64553996" w14:textId="77777777" w:rsidTr="003A4183">
        <w:trPr>
          <w:jc w:val="center"/>
        </w:trPr>
        <w:tc>
          <w:tcPr>
            <w:tcW w:w="2547" w:type="dxa"/>
            <w:shd w:val="clear" w:color="auto" w:fill="FFFFFF"/>
          </w:tcPr>
          <w:p w14:paraId="68280FB0" w14:textId="77777777" w:rsidR="002E1FD6" w:rsidRPr="00E54F33" w:rsidRDefault="002E1FD6" w:rsidP="003A4183">
            <w:pPr>
              <w:spacing w:before="60" w:after="60"/>
            </w:pPr>
            <w:r>
              <w:rPr>
                <w:sz w:val="18"/>
              </w:rPr>
              <w:t>Access Point (</w:t>
            </w:r>
            <w:proofErr w:type="spellStart"/>
            <w:r>
              <w:rPr>
                <w:sz w:val="18"/>
              </w:rPr>
              <w:t>Wi</w:t>
            </w:r>
            <w:proofErr w:type="spellEnd"/>
            <w:r>
              <w:rPr>
                <w:sz w:val="18"/>
              </w:rPr>
              <w:t>-Fi)</w:t>
            </w:r>
          </w:p>
        </w:tc>
        <w:tc>
          <w:tcPr>
            <w:tcW w:w="992" w:type="dxa"/>
            <w:shd w:val="clear" w:color="auto" w:fill="FFFFFF"/>
          </w:tcPr>
          <w:p w14:paraId="63EEB4F1" w14:textId="77777777" w:rsidR="002E1FD6" w:rsidRPr="00E54F33" w:rsidRDefault="002E1FD6" w:rsidP="003A4183">
            <w:pPr>
              <w:spacing w:before="60" w:after="60"/>
              <w:jc w:val="center"/>
            </w:pPr>
            <w:r>
              <w:rPr>
                <w:sz w:val="18"/>
              </w:rPr>
              <w:t>73</w:t>
            </w:r>
          </w:p>
        </w:tc>
        <w:tc>
          <w:tcPr>
            <w:tcW w:w="1559" w:type="dxa"/>
            <w:shd w:val="clear" w:color="auto" w:fill="FFFFFF"/>
          </w:tcPr>
          <w:p w14:paraId="57A071DE" w14:textId="77777777" w:rsidR="002E1FD6" w:rsidRPr="00E54F33" w:rsidRDefault="002E1FD6" w:rsidP="003A4183">
            <w:pPr>
              <w:spacing w:before="60" w:after="60"/>
              <w:jc w:val="center"/>
            </w:pPr>
            <w:r>
              <w:rPr>
                <w:sz w:val="18"/>
              </w:rPr>
              <w:t>17.0%</w:t>
            </w:r>
          </w:p>
        </w:tc>
        <w:tc>
          <w:tcPr>
            <w:tcW w:w="2646" w:type="dxa"/>
            <w:shd w:val="clear" w:color="auto" w:fill="FFFFFF"/>
          </w:tcPr>
          <w:p w14:paraId="413D3634"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32AFED48" w14:textId="77777777" w:rsidTr="003A4183">
        <w:trPr>
          <w:jc w:val="center"/>
        </w:trPr>
        <w:tc>
          <w:tcPr>
            <w:tcW w:w="2547" w:type="dxa"/>
            <w:shd w:val="clear" w:color="auto" w:fill="F4F6F9"/>
          </w:tcPr>
          <w:p w14:paraId="348F2162" w14:textId="77777777" w:rsidR="002E1FD6" w:rsidRPr="00E54F33" w:rsidRDefault="002E1FD6" w:rsidP="003A4183">
            <w:pPr>
              <w:spacing w:before="60" w:after="60"/>
            </w:pPr>
            <w:r>
              <w:rPr>
                <w:sz w:val="18"/>
              </w:rPr>
              <w:t>Servidor Físico</w:t>
            </w:r>
          </w:p>
        </w:tc>
        <w:tc>
          <w:tcPr>
            <w:tcW w:w="992" w:type="dxa"/>
            <w:shd w:val="clear" w:color="auto" w:fill="F4F6F9"/>
          </w:tcPr>
          <w:p w14:paraId="72008A09" w14:textId="77777777" w:rsidR="002E1FD6" w:rsidRPr="00E54F33" w:rsidRDefault="002E1FD6" w:rsidP="003A4183">
            <w:pPr>
              <w:spacing w:before="60" w:after="60"/>
              <w:jc w:val="center"/>
            </w:pPr>
            <w:r>
              <w:rPr>
                <w:sz w:val="18"/>
              </w:rPr>
              <w:t>16</w:t>
            </w:r>
          </w:p>
        </w:tc>
        <w:tc>
          <w:tcPr>
            <w:tcW w:w="1559" w:type="dxa"/>
            <w:shd w:val="clear" w:color="auto" w:fill="F4F6F9"/>
          </w:tcPr>
          <w:p w14:paraId="19BC6885" w14:textId="77777777" w:rsidR="002E1FD6" w:rsidRPr="00E54F33" w:rsidRDefault="002E1FD6" w:rsidP="003A4183">
            <w:pPr>
              <w:spacing w:before="60" w:after="60"/>
              <w:jc w:val="center"/>
            </w:pPr>
            <w:r>
              <w:rPr>
                <w:sz w:val="18"/>
              </w:rPr>
              <w:t>3.7%</w:t>
            </w:r>
          </w:p>
        </w:tc>
        <w:tc>
          <w:tcPr>
            <w:tcW w:w="2646" w:type="dxa"/>
            <w:shd w:val="clear" w:color="auto" w:fill="F4F6F9"/>
          </w:tcPr>
          <w:p w14:paraId="6C02637F"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12F0CEB5" w14:textId="77777777" w:rsidTr="003A4183">
        <w:trPr>
          <w:jc w:val="center"/>
        </w:trPr>
        <w:tc>
          <w:tcPr>
            <w:tcW w:w="2547" w:type="dxa"/>
            <w:shd w:val="clear" w:color="auto" w:fill="FFFFFF"/>
          </w:tcPr>
          <w:p w14:paraId="222EBD99" w14:textId="77777777" w:rsidR="002E1FD6" w:rsidRPr="00E54F33" w:rsidRDefault="002E1FD6" w:rsidP="003A4183">
            <w:pPr>
              <w:spacing w:before="60" w:after="60"/>
            </w:pPr>
            <w:r>
              <w:rPr>
                <w:sz w:val="18"/>
              </w:rPr>
              <w:t>Firewall (Perímetro/Seguridad)</w:t>
            </w:r>
          </w:p>
        </w:tc>
        <w:tc>
          <w:tcPr>
            <w:tcW w:w="992" w:type="dxa"/>
            <w:shd w:val="clear" w:color="auto" w:fill="FFFFFF"/>
          </w:tcPr>
          <w:p w14:paraId="762C5345" w14:textId="77777777" w:rsidR="002E1FD6" w:rsidRPr="00E54F33" w:rsidRDefault="002E1FD6" w:rsidP="003A4183">
            <w:pPr>
              <w:spacing w:before="60" w:after="60"/>
              <w:jc w:val="center"/>
            </w:pPr>
            <w:r>
              <w:rPr>
                <w:sz w:val="18"/>
              </w:rPr>
              <w:t>4</w:t>
            </w:r>
          </w:p>
        </w:tc>
        <w:tc>
          <w:tcPr>
            <w:tcW w:w="1559" w:type="dxa"/>
            <w:shd w:val="clear" w:color="auto" w:fill="FFFFFF"/>
          </w:tcPr>
          <w:p w14:paraId="1D838337" w14:textId="77777777" w:rsidR="002E1FD6" w:rsidRPr="00E54F33" w:rsidRDefault="002E1FD6" w:rsidP="003A4183">
            <w:pPr>
              <w:spacing w:before="60" w:after="60"/>
              <w:jc w:val="center"/>
            </w:pPr>
            <w:r>
              <w:rPr>
                <w:sz w:val="18"/>
              </w:rPr>
              <w:t>0.9%</w:t>
            </w:r>
          </w:p>
        </w:tc>
        <w:tc>
          <w:tcPr>
            <w:tcW w:w="2646" w:type="dxa"/>
            <w:shd w:val="clear" w:color="auto" w:fill="FFFFFF"/>
          </w:tcPr>
          <w:p w14:paraId="594DA647"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5E502925" w14:textId="77777777" w:rsidTr="003A4183">
        <w:trPr>
          <w:jc w:val="center"/>
        </w:trPr>
        <w:tc>
          <w:tcPr>
            <w:tcW w:w="2547" w:type="dxa"/>
            <w:shd w:val="clear" w:color="auto" w:fill="F4F6F9"/>
          </w:tcPr>
          <w:p w14:paraId="3B36B239" w14:textId="77777777" w:rsidR="002E1FD6" w:rsidRPr="00E54F33" w:rsidRDefault="002E1FD6" w:rsidP="003A4183">
            <w:pPr>
              <w:spacing w:before="60" w:after="60"/>
            </w:pPr>
            <w:proofErr w:type="spellStart"/>
            <w:r>
              <w:rPr>
                <w:sz w:val="18"/>
              </w:rPr>
              <w:t>Appliance</w:t>
            </w:r>
            <w:proofErr w:type="spellEnd"/>
            <w:r>
              <w:rPr>
                <w:sz w:val="18"/>
              </w:rPr>
              <w:t xml:space="preserve"> Tecnológico</w:t>
            </w:r>
          </w:p>
        </w:tc>
        <w:tc>
          <w:tcPr>
            <w:tcW w:w="992" w:type="dxa"/>
            <w:shd w:val="clear" w:color="auto" w:fill="F4F6F9"/>
          </w:tcPr>
          <w:p w14:paraId="3C5FFE96" w14:textId="77777777" w:rsidR="002E1FD6" w:rsidRPr="00E54F33" w:rsidRDefault="002E1FD6" w:rsidP="003A4183">
            <w:pPr>
              <w:spacing w:before="60" w:after="60"/>
              <w:jc w:val="center"/>
            </w:pPr>
            <w:r>
              <w:rPr>
                <w:sz w:val="18"/>
              </w:rPr>
              <w:t>4</w:t>
            </w:r>
          </w:p>
        </w:tc>
        <w:tc>
          <w:tcPr>
            <w:tcW w:w="1559" w:type="dxa"/>
            <w:shd w:val="clear" w:color="auto" w:fill="F4F6F9"/>
          </w:tcPr>
          <w:p w14:paraId="49B69E14" w14:textId="77777777" w:rsidR="002E1FD6" w:rsidRPr="00E54F33" w:rsidRDefault="002E1FD6" w:rsidP="003A4183">
            <w:pPr>
              <w:spacing w:before="60" w:after="60"/>
              <w:jc w:val="center"/>
            </w:pPr>
            <w:r>
              <w:rPr>
                <w:sz w:val="18"/>
              </w:rPr>
              <w:t>0.9%</w:t>
            </w:r>
          </w:p>
        </w:tc>
        <w:tc>
          <w:tcPr>
            <w:tcW w:w="2646" w:type="dxa"/>
            <w:shd w:val="clear" w:color="auto" w:fill="F4F6F9"/>
          </w:tcPr>
          <w:p w14:paraId="7DDB3A15"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36BE8EC6" w14:textId="77777777" w:rsidTr="003A4183">
        <w:trPr>
          <w:jc w:val="center"/>
        </w:trPr>
        <w:tc>
          <w:tcPr>
            <w:tcW w:w="2547" w:type="dxa"/>
            <w:shd w:val="clear" w:color="auto" w:fill="FFFFFF"/>
          </w:tcPr>
          <w:p w14:paraId="44475179" w14:textId="77777777" w:rsidR="002E1FD6" w:rsidRPr="00E54F33" w:rsidRDefault="002E1FD6" w:rsidP="003A4183">
            <w:pPr>
              <w:spacing w:before="60" w:after="60"/>
            </w:pPr>
            <w:r>
              <w:rPr>
                <w:sz w:val="18"/>
              </w:rPr>
              <w:t>Balanceador de Carga</w:t>
            </w:r>
          </w:p>
        </w:tc>
        <w:tc>
          <w:tcPr>
            <w:tcW w:w="992" w:type="dxa"/>
            <w:shd w:val="clear" w:color="auto" w:fill="FFFFFF"/>
          </w:tcPr>
          <w:p w14:paraId="7F0D7169" w14:textId="77777777" w:rsidR="002E1FD6" w:rsidRPr="00E54F33" w:rsidRDefault="002E1FD6" w:rsidP="003A4183">
            <w:pPr>
              <w:spacing w:before="60" w:after="60"/>
              <w:jc w:val="center"/>
            </w:pPr>
            <w:r>
              <w:rPr>
                <w:sz w:val="18"/>
              </w:rPr>
              <w:t>2</w:t>
            </w:r>
          </w:p>
        </w:tc>
        <w:tc>
          <w:tcPr>
            <w:tcW w:w="1559" w:type="dxa"/>
            <w:shd w:val="clear" w:color="auto" w:fill="FFFFFF"/>
          </w:tcPr>
          <w:p w14:paraId="41C4BCE9" w14:textId="77777777" w:rsidR="002E1FD6" w:rsidRPr="00E54F33" w:rsidRDefault="002E1FD6" w:rsidP="003A4183">
            <w:pPr>
              <w:spacing w:before="60" w:after="60"/>
              <w:jc w:val="center"/>
            </w:pPr>
            <w:r>
              <w:rPr>
                <w:sz w:val="18"/>
              </w:rPr>
              <w:t>0.5%</w:t>
            </w:r>
          </w:p>
        </w:tc>
        <w:tc>
          <w:tcPr>
            <w:tcW w:w="2646" w:type="dxa"/>
            <w:shd w:val="clear" w:color="auto" w:fill="FFFFFF"/>
          </w:tcPr>
          <w:p w14:paraId="3390028C" w14:textId="77777777" w:rsidR="002E1FD6" w:rsidRPr="00E54F33" w:rsidRDefault="002E1FD6" w:rsidP="003A4183">
            <w:pPr>
              <w:spacing w:before="60" w:after="60"/>
            </w:pPr>
            <w:r>
              <w:rPr>
                <w:sz w:val="18"/>
              </w:rPr>
              <w:t xml:space="preserve">Instalado en Sitio - </w:t>
            </w:r>
            <w:proofErr w:type="spellStart"/>
            <w:r>
              <w:rPr>
                <w:sz w:val="18"/>
              </w:rPr>
              <w:t>On</w:t>
            </w:r>
            <w:proofErr w:type="spellEnd"/>
            <w:r>
              <w:rPr>
                <w:sz w:val="18"/>
              </w:rPr>
              <w:t>-Premises</w:t>
            </w:r>
          </w:p>
        </w:tc>
      </w:tr>
      <w:tr w:rsidR="002E1FD6" w:rsidRPr="00E54F33" w14:paraId="35A1C7A0" w14:textId="77777777" w:rsidTr="003A4183">
        <w:trPr>
          <w:jc w:val="center"/>
        </w:trPr>
        <w:tc>
          <w:tcPr>
            <w:tcW w:w="2547" w:type="dxa"/>
            <w:shd w:val="clear" w:color="auto" w:fill="E2E8F0"/>
          </w:tcPr>
          <w:p w14:paraId="47781A92" w14:textId="77777777" w:rsidR="002E1FD6" w:rsidRPr="00E54F33" w:rsidRDefault="002E1FD6" w:rsidP="003A4183">
            <w:pPr>
              <w:spacing w:before="60" w:after="60"/>
            </w:pPr>
            <w:proofErr w:type="gramStart"/>
            <w:r>
              <w:rPr>
                <w:b/>
                <w:color w:val="102C57"/>
                <w:sz w:val="18"/>
              </w:rPr>
              <w:t>TOTAL</w:t>
            </w:r>
            <w:proofErr w:type="gramEnd"/>
            <w:r>
              <w:rPr>
                <w:b/>
                <w:color w:val="102C57"/>
                <w:sz w:val="18"/>
              </w:rPr>
              <w:t xml:space="preserve"> CONSOLIDADO</w:t>
            </w:r>
          </w:p>
        </w:tc>
        <w:tc>
          <w:tcPr>
            <w:tcW w:w="992" w:type="dxa"/>
            <w:shd w:val="clear" w:color="auto" w:fill="E2E8F0"/>
          </w:tcPr>
          <w:p w14:paraId="65A0284E" w14:textId="77777777" w:rsidR="002E1FD6" w:rsidRPr="00E54F33" w:rsidRDefault="002E1FD6" w:rsidP="003A4183">
            <w:pPr>
              <w:spacing w:before="60" w:after="60"/>
              <w:jc w:val="center"/>
            </w:pPr>
            <w:r>
              <w:rPr>
                <w:b/>
                <w:color w:val="102C57"/>
                <w:sz w:val="18"/>
              </w:rPr>
              <w:t>429</w:t>
            </w:r>
          </w:p>
        </w:tc>
        <w:tc>
          <w:tcPr>
            <w:tcW w:w="1559" w:type="dxa"/>
            <w:shd w:val="clear" w:color="auto" w:fill="E2E8F0"/>
          </w:tcPr>
          <w:p w14:paraId="4C372D4C" w14:textId="77777777" w:rsidR="002E1FD6" w:rsidRPr="00E54F33" w:rsidRDefault="002E1FD6" w:rsidP="003A4183">
            <w:pPr>
              <w:spacing w:before="60" w:after="60"/>
              <w:jc w:val="center"/>
            </w:pPr>
            <w:r>
              <w:rPr>
                <w:b/>
                <w:color w:val="102C57"/>
                <w:sz w:val="18"/>
              </w:rPr>
              <w:t>100.0%</w:t>
            </w:r>
          </w:p>
        </w:tc>
        <w:tc>
          <w:tcPr>
            <w:tcW w:w="2646" w:type="dxa"/>
            <w:shd w:val="clear" w:color="auto" w:fill="E2E8F0"/>
          </w:tcPr>
          <w:p w14:paraId="7BD1AB33" w14:textId="77777777" w:rsidR="002E1FD6" w:rsidRPr="00E54F33" w:rsidRDefault="002E1FD6" w:rsidP="003A4183">
            <w:pPr>
              <w:spacing w:before="60" w:after="60"/>
            </w:pPr>
            <w:r>
              <w:rPr>
                <w:b/>
                <w:color w:val="102C57"/>
                <w:sz w:val="18"/>
              </w:rPr>
              <w:t xml:space="preserve">66% </w:t>
            </w:r>
            <w:proofErr w:type="spellStart"/>
            <w:r>
              <w:rPr>
                <w:b/>
                <w:color w:val="102C57"/>
                <w:sz w:val="18"/>
              </w:rPr>
              <w:t>On</w:t>
            </w:r>
            <w:proofErr w:type="spellEnd"/>
            <w:r>
              <w:rPr>
                <w:b/>
                <w:color w:val="102C57"/>
                <w:sz w:val="18"/>
              </w:rPr>
              <w:t>-Premises / 34% IaaS (Nube)</w:t>
            </w:r>
          </w:p>
        </w:tc>
      </w:tr>
    </w:tbl>
    <w:p w14:paraId="1A7427F5" w14:textId="77777777" w:rsidR="002E1FD6" w:rsidRPr="00E54F33" w:rsidRDefault="002E1FD6" w:rsidP="002E1FD6">
      <w:pPr>
        <w:jc w:val="both"/>
        <w:rPr>
          <w:rFonts w:ascii="Arial" w:hAnsi="Arial" w:cs="Arial"/>
        </w:rPr>
      </w:pPr>
    </w:p>
    <w:p w14:paraId="752DABE1" w14:textId="77777777" w:rsidR="002E1FD6" w:rsidRPr="00E54F33" w:rsidRDefault="002E1FD6" w:rsidP="002E1FD6">
      <w:pPr>
        <w:spacing w:after="120"/>
        <w:jc w:val="both"/>
        <w:rPr>
          <w:rFonts w:ascii="Arial" w:hAnsi="Arial" w:cs="Arial"/>
        </w:rPr>
      </w:pPr>
      <w:r>
        <w:rPr>
          <w:rFonts w:ascii="Arial" w:hAnsi="Arial" w:cs="Arial"/>
        </w:rPr>
        <w:t>En términos de la arquitectura de despliegue, el reporte demuestra una clara preponderancia del modelo tradicional centralizado:</w:t>
      </w:r>
    </w:p>
    <w:p w14:paraId="7427DAAF" w14:textId="77777777" w:rsidR="002E1FD6" w:rsidRPr="00E54F33" w:rsidRDefault="002E1FD6" w:rsidP="002E1FD6">
      <w:pPr>
        <w:spacing w:after="120"/>
        <w:jc w:val="both"/>
        <w:rPr>
          <w:rFonts w:ascii="Arial" w:hAnsi="Arial" w:cs="Arial"/>
        </w:rPr>
      </w:pPr>
    </w:p>
    <w:p w14:paraId="37FD66D5" w14:textId="77777777" w:rsidR="002E1FD6" w:rsidRDefault="002E1FD6" w:rsidP="002E1FD6">
      <w:pPr>
        <w:pStyle w:val="Prrafodelista"/>
        <w:numPr>
          <w:ilvl w:val="0"/>
          <w:numId w:val="19"/>
        </w:numPr>
        <w:spacing w:after="80" w:line="240" w:lineRule="auto"/>
        <w:ind w:left="426"/>
        <w:jc w:val="both"/>
        <w:rPr>
          <w:rFonts w:cs="Arial"/>
        </w:rPr>
      </w:pPr>
      <w:r>
        <w:rPr>
          <w:rFonts w:ascii="Arial" w:eastAsia="Times New Roman" w:hAnsi="Arial" w:cs="Arial"/>
          <w:b/>
          <w:bCs/>
          <w:color w:val="2E75B6"/>
          <w:kern w:val="0"/>
          <w:sz w:val="24"/>
          <w:szCs w:val="24"/>
          <w:lang w:eastAsia="es-CO"/>
          <w14:ligatures w14:val="none"/>
        </w:rPr>
        <w:t xml:space="preserve">Instalado en Sitio - </w:t>
      </w:r>
      <w:proofErr w:type="spellStart"/>
      <w:r>
        <w:rPr>
          <w:rFonts w:ascii="Arial" w:eastAsia="Times New Roman" w:hAnsi="Arial" w:cs="Arial"/>
          <w:b/>
          <w:bCs/>
          <w:color w:val="2E75B6"/>
          <w:kern w:val="0"/>
          <w:sz w:val="24"/>
          <w:szCs w:val="24"/>
          <w:lang w:eastAsia="es-CO"/>
          <w14:ligatures w14:val="none"/>
        </w:rPr>
        <w:t>On</w:t>
      </w:r>
      <w:proofErr w:type="spellEnd"/>
      <w:r>
        <w:rPr>
          <w:rFonts w:ascii="Arial" w:eastAsia="Times New Roman" w:hAnsi="Arial" w:cs="Arial"/>
          <w:b/>
          <w:bCs/>
          <w:color w:val="2E75B6"/>
          <w:kern w:val="0"/>
          <w:sz w:val="24"/>
          <w:szCs w:val="24"/>
          <w:lang w:eastAsia="es-CO"/>
          <w14:ligatures w14:val="none"/>
        </w:rPr>
        <w:t xml:space="preserve"> Premises:</w:t>
      </w:r>
      <w:r>
        <w:rPr>
          <w:rFonts w:ascii="Arial" w:hAnsi="Arial" w:cs="Arial"/>
          <w:b/>
        </w:rPr>
        <w:t xml:space="preserve"> </w:t>
      </w:r>
      <w:r>
        <w:rPr>
          <w:rFonts w:ascii="Arial" w:hAnsi="Arial" w:cs="Arial"/>
        </w:rPr>
        <w:t xml:space="preserve">283 elementos (66.0% del total). Comprende toda la infraestructura física de cómputo (16 servidores), redes (92 switches, 73 </w:t>
      </w:r>
      <w:proofErr w:type="spellStart"/>
      <w:r>
        <w:rPr>
          <w:rFonts w:ascii="Arial" w:hAnsi="Arial" w:cs="Arial"/>
        </w:rPr>
        <w:t>APs</w:t>
      </w:r>
      <w:proofErr w:type="spellEnd"/>
      <w:r>
        <w:rPr>
          <w:rFonts w:ascii="Arial" w:hAnsi="Arial" w:cs="Arial"/>
        </w:rPr>
        <w:t xml:space="preserve">), seguridad (4 firewalls, 2 balanceadores, 4 </w:t>
      </w:r>
      <w:proofErr w:type="spellStart"/>
      <w:r>
        <w:rPr>
          <w:rFonts w:ascii="Arial" w:hAnsi="Arial" w:cs="Arial"/>
        </w:rPr>
        <w:t>appliances</w:t>
      </w:r>
      <w:proofErr w:type="spellEnd"/>
      <w:r>
        <w:rPr>
          <w:rFonts w:ascii="Arial" w:hAnsi="Arial" w:cs="Arial"/>
        </w:rPr>
        <w:t>) y 92 servidores virtuales alojados en el centro de datos local de la ANM (Sede Central Bogotá / Sedes Regionales).</w:t>
      </w:r>
    </w:p>
    <w:p w14:paraId="0F5ECB94" w14:textId="77777777" w:rsidR="002E1FD6" w:rsidRPr="00E54F33" w:rsidRDefault="002E1FD6" w:rsidP="002E1FD6">
      <w:pPr>
        <w:pStyle w:val="Listaconvietas"/>
        <w:numPr>
          <w:ilvl w:val="0"/>
          <w:numId w:val="0"/>
        </w:numPr>
        <w:spacing w:after="60"/>
        <w:ind w:left="360"/>
        <w:jc w:val="both"/>
        <w:rPr>
          <w:rFonts w:cs="Arial"/>
          <w:lang w:val="es-CO"/>
        </w:rPr>
      </w:pPr>
    </w:p>
    <w:p w14:paraId="42B4AA35" w14:textId="77777777" w:rsidR="002E1FD6" w:rsidRPr="00E54F33" w:rsidRDefault="002E1FD6" w:rsidP="002E1FD6">
      <w:pPr>
        <w:pStyle w:val="Prrafodelista"/>
        <w:numPr>
          <w:ilvl w:val="0"/>
          <w:numId w:val="19"/>
        </w:numPr>
        <w:spacing w:after="80" w:line="240" w:lineRule="auto"/>
        <w:ind w:left="426"/>
        <w:jc w:val="both"/>
        <w:rPr>
          <w:rFonts w:ascii="Arial" w:hAnsi="Arial" w:cs="Arial"/>
        </w:rPr>
      </w:pPr>
      <w:r>
        <w:rPr>
          <w:rFonts w:ascii="Arial" w:eastAsia="Times New Roman" w:hAnsi="Arial" w:cs="Arial"/>
          <w:b/>
          <w:bCs/>
          <w:color w:val="2E75B6"/>
          <w:sz w:val="24"/>
          <w:szCs w:val="24"/>
          <w:lang w:eastAsia="es-CO"/>
        </w:rPr>
        <w:t>Infraestructura como Servicio (IaaS - Nube):</w:t>
      </w:r>
      <w:r>
        <w:rPr>
          <w:rFonts w:ascii="Arial" w:hAnsi="Arial" w:cs="Arial"/>
          <w:b/>
        </w:rPr>
        <w:t xml:space="preserve"> </w:t>
      </w:r>
      <w:r>
        <w:rPr>
          <w:rFonts w:ascii="Arial" w:hAnsi="Arial" w:cs="Arial"/>
        </w:rPr>
        <w:t>146 elementos (34.0% del total). Representa exclusivamente servidores virtuales aprovisionados en entornos de nube pública/privada contratados por la entidad.</w:t>
      </w:r>
    </w:p>
    <w:p w14:paraId="27F28AFF" w14:textId="77777777" w:rsidR="002E1FD6" w:rsidRPr="00E54F33" w:rsidRDefault="002E1FD6" w:rsidP="002E1FD6">
      <w:pPr>
        <w:jc w:val="both"/>
        <w:rPr>
          <w:rFonts w:ascii="Arial" w:hAnsi="Arial" w:cs="Arial"/>
        </w:rPr>
      </w:pPr>
    </w:p>
    <w:p w14:paraId="1ECB2704" w14:textId="77777777" w:rsidR="002E1FD6" w:rsidRDefault="002E1FD6" w:rsidP="002E1FD6">
      <w:pPr>
        <w:jc w:val="both"/>
        <w:rPr>
          <w:rFonts w:ascii="Arial" w:hAnsi="Arial" w:cs="Arial"/>
        </w:rPr>
      </w:pPr>
      <w:r>
        <w:rPr>
          <w:rFonts w:ascii="Arial" w:hAnsi="Arial" w:cs="Arial"/>
        </w:rPr>
        <w:t>El catálogo asocia sus elementos de infraestructura con 27 Sistemas de Información identificados. No obstante, existe una altísima concentración en la categoría de Servicios Transversales (250 elementos, 58.3%), seguida por sistemas misioneros críticos como APP-00 En Validación (40 elementos), APP_01 Anna Minería (24 elementos), APP_30 Trámites en Línea (14 elementos), APP_06 Sistema de Gestión Documental Content (14 elementos), y APP_34 Control a la Producción (11 elementos).</w:t>
      </w:r>
    </w:p>
    <w:p w14:paraId="72A477C7" w14:textId="77777777" w:rsidR="002E1FD6" w:rsidRDefault="002E1FD6" w:rsidP="002E1FD6">
      <w:pPr>
        <w:jc w:val="both"/>
        <w:rPr>
          <w:rFonts w:ascii="Arial" w:hAnsi="Arial" w:cs="Arial"/>
        </w:rPr>
      </w:pPr>
    </w:p>
    <w:p w14:paraId="2A93F765" w14:textId="77777777" w:rsidR="002E1FD6" w:rsidRDefault="002E1FD6" w:rsidP="002E1FD6">
      <w:pPr>
        <w:jc w:val="both"/>
        <w:rPr>
          <w:rFonts w:ascii="Arial" w:hAnsi="Arial" w:cs="Arial"/>
        </w:rPr>
      </w:pPr>
    </w:p>
    <w:p w14:paraId="098698F7" w14:textId="77777777" w:rsidR="002E1FD6" w:rsidRDefault="002E1FD6" w:rsidP="002E1FD6">
      <w:pPr>
        <w:keepNext/>
        <w:keepLines/>
        <w:jc w:val="both"/>
        <w:rPr>
          <w:rFonts w:ascii="Arial" w:eastAsia="Times New Roman" w:hAnsi="Arial" w:cs="Arial"/>
          <w:b/>
          <w:bCs/>
          <w:color w:val="2E75B6"/>
          <w:kern w:val="0"/>
          <w:sz w:val="24"/>
          <w:szCs w:val="24"/>
          <w:lang w:eastAsia="es-CO"/>
          <w14:ligatures w14:val="none"/>
        </w:rPr>
      </w:pPr>
      <w:r>
        <w:rPr>
          <w:rFonts w:ascii="Arial" w:eastAsia="Times New Roman" w:hAnsi="Arial" w:cs="Arial"/>
          <w:b/>
          <w:bCs/>
          <w:color w:val="2E75B6"/>
          <w:kern w:val="0"/>
          <w:sz w:val="24"/>
          <w:szCs w:val="24"/>
          <w:lang w:eastAsia="es-CO"/>
          <w14:ligatures w14:val="none"/>
        </w:rPr>
        <w:t>Hallazgos principales.</w:t>
      </w:r>
    </w:p>
    <w:p w14:paraId="0BA6E2D9" w14:textId="77777777" w:rsidR="002E1FD6" w:rsidRPr="00075F2C" w:rsidRDefault="002E1FD6" w:rsidP="002E1FD6">
      <w:pPr>
        <w:pStyle w:val="Prrafodelista"/>
        <w:numPr>
          <w:ilvl w:val="0"/>
          <w:numId w:val="19"/>
        </w:numPr>
        <w:spacing w:after="80" w:line="240" w:lineRule="auto"/>
        <w:ind w:left="426"/>
        <w:jc w:val="both"/>
      </w:pPr>
      <w:r>
        <w:rPr>
          <w:rFonts w:ascii="Arial" w:eastAsia="Times New Roman" w:hAnsi="Arial" w:cs="Arial"/>
          <w:b/>
          <w:bCs/>
          <w:color w:val="2E75B6"/>
          <w:kern w:val="0"/>
          <w:sz w:val="24"/>
          <w:szCs w:val="24"/>
          <w:lang w:eastAsia="es-CO"/>
          <w14:ligatures w14:val="none"/>
        </w:rPr>
        <w:t>Sistemas operativos sin soporte vigente:</w:t>
      </w:r>
      <w:r>
        <w:rPr>
          <w:b/>
          <w:bCs/>
          <w:color w:val="1F3864"/>
        </w:rPr>
        <w:t xml:space="preserve"> </w:t>
      </w:r>
    </w:p>
    <w:p w14:paraId="1C594B44" w14:textId="77777777" w:rsidR="002E1FD6" w:rsidRDefault="002E1FD6" w:rsidP="002E1FD6">
      <w:pPr>
        <w:pStyle w:val="Prrafodelista"/>
        <w:spacing w:after="80" w:line="240" w:lineRule="auto"/>
        <w:ind w:left="426"/>
        <w:jc w:val="both"/>
        <w:rPr>
          <w:color w:val="262626"/>
        </w:rPr>
      </w:pPr>
      <w:r>
        <w:rPr>
          <w:color w:val="262626"/>
        </w:rPr>
        <w:t xml:space="preserve">El inventario de sistemas operativos muestra una coexistencia amplia de versiones vigentes (Windows Server 2022 y 2025, Oracle Linux 9, Red </w:t>
      </w:r>
      <w:proofErr w:type="spellStart"/>
      <w:r>
        <w:rPr>
          <w:color w:val="262626"/>
        </w:rPr>
        <w:t>Hat</w:t>
      </w:r>
      <w:proofErr w:type="spellEnd"/>
      <w:r>
        <w:rPr>
          <w:color w:val="262626"/>
        </w:rPr>
        <w:t xml:space="preserve"> 8) con versiones que ya salieron de soporte del fabricante, entre ellas Windows Server 2008 R2 y 2012, Red </w:t>
      </w:r>
      <w:proofErr w:type="spellStart"/>
      <w:r>
        <w:rPr>
          <w:color w:val="262626"/>
        </w:rPr>
        <w:t>Hat</w:t>
      </w:r>
      <w:proofErr w:type="spellEnd"/>
      <w:r>
        <w:rPr>
          <w:color w:val="262626"/>
        </w:rPr>
        <w:t xml:space="preserve"> Enterprise Linux 4, 5 y 6, CentOS 4/5/6 y Debian 7 y 9. La presencia de estos sistemas operativos legados confirma que una parte del parque tecnológico de la ANM opera hoy sin actualizaciones de seguridad del fabricante.</w:t>
      </w:r>
    </w:p>
    <w:p w14:paraId="28A93E88" w14:textId="77777777" w:rsidR="002E1FD6" w:rsidRDefault="002E1FD6" w:rsidP="002E1FD6">
      <w:pPr>
        <w:pStyle w:val="Prrafodelista"/>
        <w:spacing w:after="80" w:line="240" w:lineRule="auto"/>
        <w:ind w:left="426"/>
        <w:jc w:val="both"/>
      </w:pPr>
    </w:p>
    <w:p w14:paraId="7FD09E2D" w14:textId="77777777" w:rsidR="002E1FD6" w:rsidRPr="002127E2" w:rsidRDefault="002E1FD6" w:rsidP="002E1FD6">
      <w:pPr>
        <w:pStyle w:val="Prrafodelista"/>
        <w:numPr>
          <w:ilvl w:val="0"/>
          <w:numId w:val="19"/>
        </w:numPr>
        <w:spacing w:after="80" w:line="240" w:lineRule="auto"/>
        <w:ind w:left="426"/>
        <w:jc w:val="both"/>
      </w:pPr>
      <w:r>
        <w:rPr>
          <w:b/>
          <w:color w:val="3565A9"/>
          <w:sz w:val="26"/>
        </w:rPr>
        <w:t xml:space="preserve">Concentración Operativa en Infraestructura </w:t>
      </w:r>
      <w:proofErr w:type="spellStart"/>
      <w:r>
        <w:rPr>
          <w:b/>
          <w:color w:val="3565A9"/>
          <w:sz w:val="26"/>
        </w:rPr>
        <w:t>On</w:t>
      </w:r>
      <w:proofErr w:type="spellEnd"/>
      <w:r>
        <w:rPr>
          <w:b/>
          <w:color w:val="3565A9"/>
          <w:sz w:val="26"/>
        </w:rPr>
        <w:t>-Premises para Servicios Misioneros:</w:t>
      </w:r>
    </w:p>
    <w:p w14:paraId="01511C16" w14:textId="77777777" w:rsidR="002E1FD6" w:rsidRDefault="002E1FD6" w:rsidP="002E1FD6">
      <w:pPr>
        <w:pStyle w:val="Prrafodelista"/>
        <w:spacing w:after="80" w:line="240" w:lineRule="auto"/>
        <w:ind w:left="426"/>
        <w:jc w:val="both"/>
      </w:pPr>
      <w:r>
        <w:t xml:space="preserve">A pesar de contar con 146 servidores en Nube IaaS, la ANM mantiene componentes neurálgicos de su operación en su </w:t>
      </w:r>
      <w:proofErr w:type="spellStart"/>
      <w:r>
        <w:t>datacenter</w:t>
      </w:r>
      <w:proofErr w:type="spellEnd"/>
      <w:r>
        <w:t xml:space="preserve"> </w:t>
      </w:r>
      <w:proofErr w:type="spellStart"/>
      <w:r>
        <w:t>On</w:t>
      </w:r>
      <w:proofErr w:type="spellEnd"/>
      <w:r>
        <w:t>-Premises. Sistemas críticos como la plataforma de catastro y gestión minera (</w:t>
      </w:r>
      <w:r>
        <w:rPr>
          <w:b/>
        </w:rPr>
        <w:t>APP_01 Anna Minería</w:t>
      </w:r>
      <w:r>
        <w:t>), el sistema de gestión documental (</w:t>
      </w:r>
      <w:r>
        <w:rPr>
          <w:b/>
        </w:rPr>
        <w:t>Content</w:t>
      </w:r>
      <w:r>
        <w:t>) y controladores de dominio centrales (</w:t>
      </w:r>
      <w:r>
        <w:rPr>
          <w:b/>
        </w:rPr>
        <w:t>ANMDC01, ANMDC06</w:t>
      </w:r>
      <w:r>
        <w:t>) dependen de servidores físicos y virtuales alojados localmente, lo que incrementa el riesgo operativo ante fallas eléctricas, de climatización o desastres locales.</w:t>
      </w:r>
    </w:p>
    <w:p w14:paraId="1FAF35A9" w14:textId="77777777" w:rsidR="002E1FD6" w:rsidRDefault="002E1FD6" w:rsidP="002E1FD6">
      <w:pPr>
        <w:pStyle w:val="Prrafodelista"/>
        <w:spacing w:after="80" w:line="240" w:lineRule="auto"/>
        <w:ind w:left="426"/>
        <w:jc w:val="both"/>
      </w:pPr>
    </w:p>
    <w:p w14:paraId="1FAA5AAE" w14:textId="77777777" w:rsidR="002E1FD6" w:rsidRDefault="002E1FD6" w:rsidP="002E1FD6">
      <w:pPr>
        <w:pStyle w:val="Prrafodelista"/>
        <w:numPr>
          <w:ilvl w:val="0"/>
          <w:numId w:val="19"/>
        </w:numPr>
        <w:spacing w:after="80" w:line="240" w:lineRule="auto"/>
        <w:ind w:left="426"/>
        <w:jc w:val="both"/>
      </w:pPr>
      <w:r>
        <w:rPr>
          <w:b/>
          <w:color w:val="3565A9"/>
          <w:sz w:val="26"/>
        </w:rPr>
        <w:t>Omisión Registral y Campos Incompletos en Almacenamiento e Inventarios</w:t>
      </w:r>
    </w:p>
    <w:p w14:paraId="656592B9" w14:textId="77777777" w:rsidR="002E1FD6" w:rsidRDefault="002E1FD6" w:rsidP="002E1FD6">
      <w:pPr>
        <w:pStyle w:val="Prrafodelista"/>
        <w:spacing w:after="80" w:line="240" w:lineRule="auto"/>
        <w:ind w:left="426"/>
        <w:jc w:val="both"/>
      </w:pPr>
      <w:r>
        <w:t>Existe una omisión recurrente de información técnica crítica en la columna de ESPECIFICACIONES. Decenas de servidores virtuales figuran con el parámetro de almacenamiento vacío (</w:t>
      </w:r>
      <w:r>
        <w:rPr>
          <w:b/>
        </w:rPr>
        <w:t>DISCO</w:t>
      </w:r>
      <w:proofErr w:type="gramStart"/>
      <w:r>
        <w:rPr>
          <w:b/>
        </w:rPr>
        <w:t xml:space="preserve">: </w:t>
      </w:r>
      <w:r>
        <w:t>)</w:t>
      </w:r>
      <w:proofErr w:type="gramEnd"/>
      <w:r>
        <w:t xml:space="preserve">, imposibilitando el cálculo de la capacidad de almacenamiento asignada y utilizada por la ANM. De igual forma, en los elementos físicos de red (Switches y Access </w:t>
      </w:r>
      <w:proofErr w:type="spellStart"/>
      <w:r>
        <w:t>Points</w:t>
      </w:r>
      <w:proofErr w:type="spellEnd"/>
      <w:r>
        <w:t>) se evidencia la falta de registro del número de 'Placa de Inventario' en múltiples ítems de la Sede Central y sedes regionales, debilitando la trazabilidad de activos de la Nación.</w:t>
      </w:r>
    </w:p>
    <w:p w14:paraId="04BAACAC" w14:textId="77777777" w:rsidR="002E1FD6" w:rsidRDefault="002E1FD6" w:rsidP="002E1FD6">
      <w:pPr>
        <w:pStyle w:val="Prrafodelista"/>
        <w:spacing w:after="80" w:line="240" w:lineRule="auto"/>
        <w:ind w:left="426"/>
        <w:jc w:val="both"/>
      </w:pPr>
    </w:p>
    <w:p w14:paraId="087EFC08" w14:textId="77777777" w:rsidR="002E1FD6" w:rsidRDefault="002E1FD6" w:rsidP="002E1FD6">
      <w:pPr>
        <w:pStyle w:val="Prrafodelista"/>
        <w:numPr>
          <w:ilvl w:val="0"/>
          <w:numId w:val="19"/>
        </w:numPr>
        <w:spacing w:after="80" w:line="240" w:lineRule="auto"/>
        <w:ind w:left="426"/>
        <w:jc w:val="both"/>
      </w:pPr>
      <w:r>
        <w:rPr>
          <w:b/>
          <w:color w:val="3565A9"/>
          <w:sz w:val="26"/>
        </w:rPr>
        <w:t>Alta Fragmentación y Heterogeneidad en Marcas y Sistemas Operativos</w:t>
      </w:r>
    </w:p>
    <w:p w14:paraId="0A978591" w14:textId="77777777" w:rsidR="002E1FD6" w:rsidRDefault="002E1FD6" w:rsidP="002E1FD6">
      <w:pPr>
        <w:pStyle w:val="Prrafodelista"/>
        <w:spacing w:after="80" w:line="240" w:lineRule="auto"/>
        <w:ind w:left="426"/>
        <w:jc w:val="both"/>
      </w:pPr>
      <w:r>
        <w:t>El diagnóstico evidencia una marcada dispersión tecnológica en el parque instalado. En la capa de conectividad coexisten switches de al menos 7 fabricantes distintos (</w:t>
      </w:r>
      <w:r>
        <w:rPr>
          <w:b/>
        </w:rPr>
        <w:t xml:space="preserve">Cisco, HP, HPE Aruba, </w:t>
      </w:r>
      <w:proofErr w:type="spellStart"/>
      <w:r>
        <w:rPr>
          <w:b/>
        </w:rPr>
        <w:t>Allied</w:t>
      </w:r>
      <w:proofErr w:type="spellEnd"/>
      <w:r>
        <w:rPr>
          <w:b/>
        </w:rPr>
        <w:t xml:space="preserve"> </w:t>
      </w:r>
      <w:proofErr w:type="spellStart"/>
      <w:r>
        <w:rPr>
          <w:b/>
        </w:rPr>
        <w:t>Telesis</w:t>
      </w:r>
      <w:proofErr w:type="spellEnd"/>
      <w:r>
        <w:rPr>
          <w:b/>
        </w:rPr>
        <w:t>, Aruba, Alcatel y 3Com</w:t>
      </w:r>
      <w:r>
        <w:t xml:space="preserve">), lo que genera costos elevados de soporte, complejidad en la gestión de políticas de red sectoriales y disparidad en protocolos de seguridad. A nivel de sistemas operativos, se identificó una mezcla de distribuciones Linux (Oracle Linux 7.9/8.0, Red </w:t>
      </w:r>
      <w:proofErr w:type="spellStart"/>
      <w:r>
        <w:t>Hat</w:t>
      </w:r>
      <w:proofErr w:type="spellEnd"/>
      <w:r>
        <w:t xml:space="preserve"> Enterprise Linux 5.8/6.0/7.0/8.0, Ubuntu Linux, CentOS) y múltiples ediciones de Microsoft Windows Server (2008, 2012, 2012 R2, 2016, 2019, 2022).</w:t>
      </w:r>
    </w:p>
    <w:p w14:paraId="71EBCA2A" w14:textId="77777777" w:rsidR="002E1FD6" w:rsidRDefault="002E1FD6" w:rsidP="002E1FD6">
      <w:pPr>
        <w:pStyle w:val="Prrafodelista"/>
        <w:spacing w:after="80" w:line="240" w:lineRule="auto"/>
        <w:ind w:left="426"/>
        <w:jc w:val="both"/>
      </w:pPr>
    </w:p>
    <w:p w14:paraId="7DB799D3" w14:textId="77777777" w:rsidR="002E1FD6" w:rsidRDefault="002E1FD6" w:rsidP="002E1FD6">
      <w:pPr>
        <w:pStyle w:val="Prrafodelista"/>
        <w:spacing w:after="80" w:line="240" w:lineRule="auto"/>
        <w:ind w:left="426"/>
        <w:jc w:val="both"/>
      </w:pPr>
    </w:p>
    <w:p w14:paraId="07953B80" w14:textId="77777777" w:rsidR="002E1FD6" w:rsidRDefault="002E1FD6" w:rsidP="002E1FD6">
      <w:pPr>
        <w:jc w:val="both"/>
        <w:rPr>
          <w:rFonts w:ascii="Arial" w:eastAsia="Times New Roman" w:hAnsi="Arial" w:cs="Arial"/>
          <w:b/>
          <w:bCs/>
          <w:color w:val="2E75B6"/>
          <w:kern w:val="0"/>
          <w:sz w:val="24"/>
          <w:szCs w:val="24"/>
          <w:lang w:eastAsia="es-CO"/>
          <w14:ligatures w14:val="none"/>
        </w:rPr>
      </w:pPr>
    </w:p>
    <w:p w14:paraId="03185D1E" w14:textId="77777777" w:rsidR="002E1FD6" w:rsidRDefault="002E1FD6" w:rsidP="002E1FD6">
      <w:pPr>
        <w:jc w:val="both"/>
        <w:rPr>
          <w:rFonts w:ascii="Arial" w:eastAsia="Times New Roman" w:hAnsi="Arial" w:cs="Arial"/>
          <w:b/>
          <w:bCs/>
          <w:color w:val="2E75B6"/>
          <w:kern w:val="0"/>
          <w:sz w:val="24"/>
          <w:szCs w:val="24"/>
          <w:lang w:eastAsia="es-CO"/>
          <w14:ligatures w14:val="none"/>
        </w:rPr>
      </w:pPr>
    </w:p>
    <w:p w14:paraId="58B9038A" w14:textId="77777777" w:rsidR="002E1FD6" w:rsidRPr="00E54F33" w:rsidRDefault="002E1FD6" w:rsidP="002E1FD6">
      <w:pPr>
        <w:keepNext/>
        <w:keepLines/>
        <w:jc w:val="both"/>
        <w:rPr>
          <w:rFonts w:ascii="Arial" w:hAnsi="Arial" w:cs="Arial"/>
          <w:b/>
          <w:bCs/>
          <w:sz w:val="24"/>
          <w:szCs w:val="24"/>
        </w:rPr>
      </w:pPr>
      <w:r>
        <w:rPr>
          <w:rFonts w:ascii="Arial" w:hAnsi="Arial" w:cs="Arial"/>
          <w:b/>
          <w:bCs/>
          <w:sz w:val="24"/>
          <w:szCs w:val="24"/>
        </w:rPr>
        <w:lastRenderedPageBreak/>
        <w:t>2.7 AGENCIA NACIONAL DE HIDROCARBUROS (ANH).</w:t>
      </w:r>
    </w:p>
    <w:p w14:paraId="4CC9B574" w14:textId="77777777" w:rsidR="002E1FD6" w:rsidRDefault="002E1FD6" w:rsidP="002E1FD6">
      <w:pPr>
        <w:keepNext/>
        <w:keepLines/>
        <w:jc w:val="both"/>
        <w:rPr>
          <w:rFonts w:ascii="Arial" w:hAnsi="Arial" w:cs="Arial"/>
          <w:b/>
          <w:bCs/>
        </w:rPr>
      </w:pPr>
      <w:r>
        <w:rPr>
          <w:rFonts w:ascii="Arial" w:hAnsi="Arial" w:cs="Arial"/>
          <w:b/>
          <w:bCs/>
        </w:rPr>
        <w:t>Composición del catálogo.</w:t>
      </w:r>
    </w:p>
    <w:p w14:paraId="7142F855" w14:textId="77777777" w:rsidR="002E1FD6" w:rsidRPr="00334752" w:rsidRDefault="002E1FD6" w:rsidP="002E1FD6">
      <w:pPr>
        <w:jc w:val="both"/>
        <w:rPr>
          <w:rFonts w:ascii="Arial" w:hAnsi="Arial" w:cs="Arial"/>
        </w:rPr>
      </w:pPr>
      <w:r>
        <w:rPr>
          <w:rFonts w:ascii="Arial" w:hAnsi="Arial" w:cs="Arial"/>
        </w:rPr>
        <w:t xml:space="preserve">La Agencia Nacional de Hidrocarburos (ANH) reportó un total consolidado de 165 elementos de infraestructura tecnológica dentro del instrumento. De ese universo, 141 elementos (85,5%) figuran en estado ACTIVO y 24 (14,5%) en estado INACTIVO, con una distribución de tipos de elemento razonablemente diversa pero concentrada en tres familias: Access Point (57 registros), Switch (54) y Servidor Físico (20), que en conjunto representan cerca del 79% del catálogo. El resto corresponde a Firewall (11), Almacenamiento (9), WAF (4), </w:t>
      </w:r>
      <w:proofErr w:type="spellStart"/>
      <w:r>
        <w:rPr>
          <w:rFonts w:ascii="Arial" w:hAnsi="Arial" w:cs="Arial"/>
        </w:rPr>
        <w:t>Appliance</w:t>
      </w:r>
      <w:proofErr w:type="spellEnd"/>
      <w:r>
        <w:rPr>
          <w:rFonts w:ascii="Arial" w:hAnsi="Arial" w:cs="Arial"/>
        </w:rPr>
        <w:t xml:space="preserve"> (4), Balanceador de Carga (3), Aire Acondicionado (2) y </w:t>
      </w:r>
      <w:proofErr w:type="spellStart"/>
      <w:r>
        <w:rPr>
          <w:rFonts w:ascii="Arial" w:hAnsi="Arial" w:cs="Arial"/>
        </w:rPr>
        <w:t>Router</w:t>
      </w:r>
      <w:proofErr w:type="spellEnd"/>
      <w:r>
        <w:rPr>
          <w:rFonts w:ascii="Arial" w:hAnsi="Arial" w:cs="Arial"/>
        </w:rPr>
        <w:t xml:space="preserve"> (1).</w:t>
      </w:r>
    </w:p>
    <w:p w14:paraId="313DC2E0" w14:textId="77777777" w:rsidR="002E1FD6" w:rsidRDefault="002E1FD6" w:rsidP="002E1FD6">
      <w:pPr>
        <w:jc w:val="both"/>
        <w:rPr>
          <w:rFonts w:ascii="Arial" w:hAnsi="Arial" w:cs="Arial"/>
        </w:rPr>
      </w:pPr>
      <w:r>
        <w:rPr>
          <w:rFonts w:ascii="Arial" w:hAnsi="Arial" w:cs="Arial"/>
        </w:rPr>
        <w:t xml:space="preserve">En cuanto a modalidad de servicio, el 91% de los elementos (150) está clasificado como "Instalado en sitio – </w:t>
      </w:r>
      <w:proofErr w:type="spellStart"/>
      <w:r>
        <w:rPr>
          <w:rFonts w:ascii="Arial" w:hAnsi="Arial" w:cs="Arial"/>
        </w:rPr>
        <w:t>On</w:t>
      </w:r>
      <w:proofErr w:type="spellEnd"/>
      <w:r>
        <w:rPr>
          <w:rFonts w:ascii="Arial" w:hAnsi="Arial" w:cs="Arial"/>
        </w:rPr>
        <w:t xml:space="preserve"> Premises", un 7% (12) como "</w:t>
      </w:r>
      <w:proofErr w:type="spellStart"/>
      <w:r>
        <w:rPr>
          <w:rFonts w:ascii="Arial" w:hAnsi="Arial" w:cs="Arial"/>
        </w:rPr>
        <w:t>Colocation</w:t>
      </w:r>
      <w:proofErr w:type="spellEnd"/>
      <w:r>
        <w:rPr>
          <w:rFonts w:ascii="Arial" w:hAnsi="Arial" w:cs="Arial"/>
        </w:rPr>
        <w:t>" y solo un 2% (3) como "Plataforma como Servicio". Esto confirma que la ANH reporta una infraestructura todavía predominantemente física y local, con muy poca visibilidad declarada sobre componentes en la nube; de hecho, únicamente dos registros mencionan explícitamente Azure dentro de la descripción, sin que exista una categoría de servicio en la nube que los agrupe de forma clara.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559"/>
        <w:gridCol w:w="2227"/>
      </w:tblGrid>
      <w:tr w:rsidR="002E1FD6" w14:paraId="4C4A232E" w14:textId="77777777" w:rsidTr="003A4183">
        <w:trPr>
          <w:jc w:val="center"/>
        </w:trPr>
        <w:tc>
          <w:tcPr>
            <w:tcW w:w="1985" w:type="dxa"/>
            <w:shd w:val="clear" w:color="auto" w:fill="1A365D"/>
            <w:tcMar>
              <w:top w:w="100" w:type="dxa"/>
              <w:left w:w="120" w:type="dxa"/>
              <w:bottom w:w="100" w:type="dxa"/>
              <w:right w:w="120" w:type="dxa"/>
            </w:tcMar>
            <w:vAlign w:val="center"/>
          </w:tcPr>
          <w:p w14:paraId="2969D7BB" w14:textId="77777777" w:rsidR="002E1FD6" w:rsidRDefault="002E1FD6" w:rsidP="003A4183">
            <w:pPr>
              <w:jc w:val="center"/>
            </w:pPr>
            <w:r>
              <w:rPr>
                <w:b/>
                <w:color w:val="FFFFFF"/>
                <w:sz w:val="19"/>
              </w:rPr>
              <w:t>Tipo de Elemento</w:t>
            </w:r>
          </w:p>
        </w:tc>
        <w:tc>
          <w:tcPr>
            <w:tcW w:w="1559" w:type="dxa"/>
            <w:shd w:val="clear" w:color="auto" w:fill="1A365D"/>
            <w:tcMar>
              <w:top w:w="100" w:type="dxa"/>
              <w:left w:w="120" w:type="dxa"/>
              <w:bottom w:w="100" w:type="dxa"/>
              <w:right w:w="120" w:type="dxa"/>
            </w:tcMar>
            <w:vAlign w:val="center"/>
          </w:tcPr>
          <w:p w14:paraId="5C85D7EE" w14:textId="77777777" w:rsidR="002E1FD6" w:rsidRDefault="002E1FD6" w:rsidP="003A4183">
            <w:pPr>
              <w:jc w:val="center"/>
            </w:pPr>
            <w:r>
              <w:rPr>
                <w:b/>
                <w:color w:val="FFFFFF"/>
                <w:sz w:val="19"/>
              </w:rPr>
              <w:t>Cantidad</w:t>
            </w:r>
          </w:p>
        </w:tc>
        <w:tc>
          <w:tcPr>
            <w:tcW w:w="1559" w:type="dxa"/>
            <w:shd w:val="clear" w:color="auto" w:fill="1A365D"/>
            <w:tcMar>
              <w:top w:w="100" w:type="dxa"/>
              <w:left w:w="120" w:type="dxa"/>
              <w:bottom w:w="100" w:type="dxa"/>
              <w:right w:w="120" w:type="dxa"/>
            </w:tcMar>
            <w:vAlign w:val="center"/>
          </w:tcPr>
          <w:p w14:paraId="15B9ABBE" w14:textId="77777777" w:rsidR="002E1FD6" w:rsidRDefault="002E1FD6" w:rsidP="003A4183">
            <w:pPr>
              <w:jc w:val="center"/>
            </w:pPr>
            <w:r>
              <w:rPr>
                <w:b/>
                <w:color w:val="FFFFFF"/>
                <w:sz w:val="19"/>
              </w:rPr>
              <w:t>Participación %</w:t>
            </w:r>
          </w:p>
        </w:tc>
        <w:tc>
          <w:tcPr>
            <w:tcW w:w="2227" w:type="dxa"/>
            <w:shd w:val="clear" w:color="auto" w:fill="1A365D"/>
            <w:tcMar>
              <w:top w:w="100" w:type="dxa"/>
              <w:left w:w="120" w:type="dxa"/>
              <w:bottom w:w="100" w:type="dxa"/>
              <w:right w:w="120" w:type="dxa"/>
            </w:tcMar>
            <w:vAlign w:val="center"/>
          </w:tcPr>
          <w:p w14:paraId="0EFE492E" w14:textId="77777777" w:rsidR="002E1FD6" w:rsidRDefault="002E1FD6" w:rsidP="003A4183">
            <w:pPr>
              <w:jc w:val="center"/>
            </w:pPr>
            <w:r>
              <w:rPr>
                <w:b/>
                <w:color w:val="FFFFFF"/>
                <w:sz w:val="19"/>
              </w:rPr>
              <w:t>Nivel de Criticidad Típico</w:t>
            </w:r>
          </w:p>
        </w:tc>
      </w:tr>
      <w:tr w:rsidR="002E1FD6" w14:paraId="11FD22F6" w14:textId="77777777" w:rsidTr="003A4183">
        <w:trPr>
          <w:jc w:val="center"/>
        </w:trPr>
        <w:tc>
          <w:tcPr>
            <w:tcW w:w="1985" w:type="dxa"/>
            <w:tcMar>
              <w:top w:w="80" w:type="dxa"/>
              <w:left w:w="100" w:type="dxa"/>
              <w:bottom w:w="80" w:type="dxa"/>
              <w:right w:w="100" w:type="dxa"/>
            </w:tcMar>
          </w:tcPr>
          <w:p w14:paraId="533481C3" w14:textId="77777777" w:rsidR="002E1FD6" w:rsidRDefault="002E1FD6" w:rsidP="003A4183">
            <w:r>
              <w:rPr>
                <w:sz w:val="18"/>
              </w:rPr>
              <w:t>Access Point (</w:t>
            </w:r>
            <w:proofErr w:type="spellStart"/>
            <w:r>
              <w:rPr>
                <w:sz w:val="18"/>
              </w:rPr>
              <w:t>WiFi</w:t>
            </w:r>
            <w:proofErr w:type="spellEnd"/>
            <w:r>
              <w:rPr>
                <w:sz w:val="18"/>
              </w:rPr>
              <w:t>)</w:t>
            </w:r>
          </w:p>
        </w:tc>
        <w:tc>
          <w:tcPr>
            <w:tcW w:w="1559" w:type="dxa"/>
            <w:tcMar>
              <w:top w:w="80" w:type="dxa"/>
              <w:left w:w="100" w:type="dxa"/>
              <w:bottom w:w="80" w:type="dxa"/>
              <w:right w:w="100" w:type="dxa"/>
            </w:tcMar>
          </w:tcPr>
          <w:p w14:paraId="2062FED1" w14:textId="77777777" w:rsidR="002E1FD6" w:rsidRDefault="002E1FD6" w:rsidP="003A4183">
            <w:pPr>
              <w:jc w:val="center"/>
            </w:pPr>
            <w:r>
              <w:rPr>
                <w:sz w:val="18"/>
              </w:rPr>
              <w:t>57</w:t>
            </w:r>
          </w:p>
        </w:tc>
        <w:tc>
          <w:tcPr>
            <w:tcW w:w="1559" w:type="dxa"/>
            <w:tcMar>
              <w:top w:w="80" w:type="dxa"/>
              <w:left w:w="100" w:type="dxa"/>
              <w:bottom w:w="80" w:type="dxa"/>
              <w:right w:w="100" w:type="dxa"/>
            </w:tcMar>
          </w:tcPr>
          <w:p w14:paraId="10D65DC3" w14:textId="77777777" w:rsidR="002E1FD6" w:rsidRDefault="002E1FD6" w:rsidP="003A4183">
            <w:pPr>
              <w:jc w:val="center"/>
            </w:pPr>
            <w:r>
              <w:rPr>
                <w:sz w:val="18"/>
              </w:rPr>
              <w:t>34.5%</w:t>
            </w:r>
          </w:p>
        </w:tc>
        <w:tc>
          <w:tcPr>
            <w:tcW w:w="2227" w:type="dxa"/>
            <w:tcMar>
              <w:top w:w="80" w:type="dxa"/>
              <w:left w:w="100" w:type="dxa"/>
              <w:bottom w:w="80" w:type="dxa"/>
              <w:right w:w="100" w:type="dxa"/>
            </w:tcMar>
          </w:tcPr>
          <w:p w14:paraId="0AD7C069" w14:textId="77777777" w:rsidR="002E1FD6" w:rsidRDefault="002E1FD6" w:rsidP="003A4183">
            <w:r>
              <w:rPr>
                <w:sz w:val="18"/>
              </w:rPr>
              <w:t>Operación de Red Local / Conectividad</w:t>
            </w:r>
          </w:p>
        </w:tc>
      </w:tr>
      <w:tr w:rsidR="002E1FD6" w14:paraId="6549A403" w14:textId="77777777" w:rsidTr="003A4183">
        <w:trPr>
          <w:jc w:val="center"/>
        </w:trPr>
        <w:tc>
          <w:tcPr>
            <w:tcW w:w="1985" w:type="dxa"/>
            <w:tcMar>
              <w:top w:w="80" w:type="dxa"/>
              <w:left w:w="100" w:type="dxa"/>
              <w:bottom w:w="80" w:type="dxa"/>
              <w:right w:w="100" w:type="dxa"/>
            </w:tcMar>
          </w:tcPr>
          <w:p w14:paraId="3732EE4A" w14:textId="77777777" w:rsidR="002E1FD6" w:rsidRDefault="002E1FD6" w:rsidP="003A4183">
            <w:r>
              <w:rPr>
                <w:sz w:val="18"/>
              </w:rPr>
              <w:t>Switch de Acceso / Core</w:t>
            </w:r>
          </w:p>
        </w:tc>
        <w:tc>
          <w:tcPr>
            <w:tcW w:w="1559" w:type="dxa"/>
            <w:tcMar>
              <w:top w:w="80" w:type="dxa"/>
              <w:left w:w="100" w:type="dxa"/>
              <w:bottom w:w="80" w:type="dxa"/>
              <w:right w:w="100" w:type="dxa"/>
            </w:tcMar>
          </w:tcPr>
          <w:p w14:paraId="37EC6C31" w14:textId="77777777" w:rsidR="002E1FD6" w:rsidRDefault="002E1FD6" w:rsidP="003A4183">
            <w:pPr>
              <w:jc w:val="center"/>
            </w:pPr>
            <w:r>
              <w:rPr>
                <w:sz w:val="18"/>
              </w:rPr>
              <w:t>54</w:t>
            </w:r>
          </w:p>
        </w:tc>
        <w:tc>
          <w:tcPr>
            <w:tcW w:w="1559" w:type="dxa"/>
            <w:tcMar>
              <w:top w:w="80" w:type="dxa"/>
              <w:left w:w="100" w:type="dxa"/>
              <w:bottom w:w="80" w:type="dxa"/>
              <w:right w:w="100" w:type="dxa"/>
            </w:tcMar>
          </w:tcPr>
          <w:p w14:paraId="03FF6F71" w14:textId="77777777" w:rsidR="002E1FD6" w:rsidRDefault="002E1FD6" w:rsidP="003A4183">
            <w:pPr>
              <w:jc w:val="center"/>
            </w:pPr>
            <w:r>
              <w:rPr>
                <w:sz w:val="18"/>
              </w:rPr>
              <w:t>32.7%</w:t>
            </w:r>
          </w:p>
        </w:tc>
        <w:tc>
          <w:tcPr>
            <w:tcW w:w="2227" w:type="dxa"/>
            <w:tcMar>
              <w:top w:w="80" w:type="dxa"/>
              <w:left w:w="100" w:type="dxa"/>
              <w:bottom w:w="80" w:type="dxa"/>
              <w:right w:w="100" w:type="dxa"/>
            </w:tcMar>
          </w:tcPr>
          <w:p w14:paraId="7962FB25" w14:textId="77777777" w:rsidR="002E1FD6" w:rsidRDefault="002E1FD6" w:rsidP="003A4183">
            <w:r>
              <w:rPr>
                <w:sz w:val="18"/>
              </w:rPr>
              <w:t>Infraestructura de Red y Comunicaciones</w:t>
            </w:r>
          </w:p>
        </w:tc>
      </w:tr>
      <w:tr w:rsidR="002E1FD6" w14:paraId="26D2D562" w14:textId="77777777" w:rsidTr="003A4183">
        <w:trPr>
          <w:jc w:val="center"/>
        </w:trPr>
        <w:tc>
          <w:tcPr>
            <w:tcW w:w="1985" w:type="dxa"/>
            <w:tcMar>
              <w:top w:w="80" w:type="dxa"/>
              <w:left w:w="100" w:type="dxa"/>
              <w:bottom w:w="80" w:type="dxa"/>
              <w:right w:w="100" w:type="dxa"/>
            </w:tcMar>
          </w:tcPr>
          <w:p w14:paraId="552604BE" w14:textId="77777777" w:rsidR="002E1FD6" w:rsidRDefault="002E1FD6" w:rsidP="003A4183">
            <w:r>
              <w:rPr>
                <w:sz w:val="18"/>
              </w:rPr>
              <w:t>Servidor Físico</w:t>
            </w:r>
          </w:p>
        </w:tc>
        <w:tc>
          <w:tcPr>
            <w:tcW w:w="1559" w:type="dxa"/>
            <w:tcMar>
              <w:top w:w="80" w:type="dxa"/>
              <w:left w:w="100" w:type="dxa"/>
              <w:bottom w:w="80" w:type="dxa"/>
              <w:right w:w="100" w:type="dxa"/>
            </w:tcMar>
          </w:tcPr>
          <w:p w14:paraId="2E90DE51" w14:textId="77777777" w:rsidR="002E1FD6" w:rsidRDefault="002E1FD6" w:rsidP="003A4183">
            <w:pPr>
              <w:jc w:val="center"/>
            </w:pPr>
            <w:r>
              <w:rPr>
                <w:sz w:val="18"/>
              </w:rPr>
              <w:t>20</w:t>
            </w:r>
          </w:p>
        </w:tc>
        <w:tc>
          <w:tcPr>
            <w:tcW w:w="1559" w:type="dxa"/>
            <w:tcMar>
              <w:top w:w="80" w:type="dxa"/>
              <w:left w:w="100" w:type="dxa"/>
              <w:bottom w:w="80" w:type="dxa"/>
              <w:right w:w="100" w:type="dxa"/>
            </w:tcMar>
          </w:tcPr>
          <w:p w14:paraId="06AD957B" w14:textId="77777777" w:rsidR="002E1FD6" w:rsidRDefault="002E1FD6" w:rsidP="003A4183">
            <w:pPr>
              <w:jc w:val="center"/>
            </w:pPr>
            <w:r>
              <w:rPr>
                <w:sz w:val="18"/>
              </w:rPr>
              <w:t>12.1%</w:t>
            </w:r>
          </w:p>
        </w:tc>
        <w:tc>
          <w:tcPr>
            <w:tcW w:w="2227" w:type="dxa"/>
            <w:tcMar>
              <w:top w:w="80" w:type="dxa"/>
              <w:left w:w="100" w:type="dxa"/>
              <w:bottom w:w="80" w:type="dxa"/>
              <w:right w:w="100" w:type="dxa"/>
            </w:tcMar>
          </w:tcPr>
          <w:p w14:paraId="4C4C512C" w14:textId="77777777" w:rsidR="002E1FD6" w:rsidRDefault="002E1FD6" w:rsidP="003A4183">
            <w:r>
              <w:rPr>
                <w:sz w:val="18"/>
              </w:rPr>
              <w:t>Cómputo / Plataforma Virtualizada (VMware)</w:t>
            </w:r>
          </w:p>
        </w:tc>
      </w:tr>
      <w:tr w:rsidR="002E1FD6" w14:paraId="10058052" w14:textId="77777777" w:rsidTr="003A4183">
        <w:trPr>
          <w:jc w:val="center"/>
        </w:trPr>
        <w:tc>
          <w:tcPr>
            <w:tcW w:w="1985" w:type="dxa"/>
            <w:tcMar>
              <w:top w:w="80" w:type="dxa"/>
              <w:left w:w="100" w:type="dxa"/>
              <w:bottom w:w="80" w:type="dxa"/>
              <w:right w:w="100" w:type="dxa"/>
            </w:tcMar>
          </w:tcPr>
          <w:p w14:paraId="0150E6A0" w14:textId="77777777" w:rsidR="002E1FD6" w:rsidRDefault="002E1FD6" w:rsidP="003A4183">
            <w:r>
              <w:rPr>
                <w:sz w:val="18"/>
              </w:rPr>
              <w:t xml:space="preserve">Firewall (NGFW, Sandbox, </w:t>
            </w:r>
            <w:proofErr w:type="spellStart"/>
            <w:r>
              <w:rPr>
                <w:sz w:val="18"/>
              </w:rPr>
              <w:t>DDoS</w:t>
            </w:r>
            <w:proofErr w:type="spellEnd"/>
            <w:r>
              <w:rPr>
                <w:sz w:val="18"/>
              </w:rPr>
              <w:t>)</w:t>
            </w:r>
          </w:p>
        </w:tc>
        <w:tc>
          <w:tcPr>
            <w:tcW w:w="1559" w:type="dxa"/>
            <w:tcMar>
              <w:top w:w="80" w:type="dxa"/>
              <w:left w:w="100" w:type="dxa"/>
              <w:bottom w:w="80" w:type="dxa"/>
              <w:right w:w="100" w:type="dxa"/>
            </w:tcMar>
          </w:tcPr>
          <w:p w14:paraId="17AC2952" w14:textId="77777777" w:rsidR="002E1FD6" w:rsidRDefault="002E1FD6" w:rsidP="003A4183">
            <w:pPr>
              <w:jc w:val="center"/>
            </w:pPr>
            <w:r>
              <w:rPr>
                <w:sz w:val="18"/>
              </w:rPr>
              <w:t>11</w:t>
            </w:r>
          </w:p>
        </w:tc>
        <w:tc>
          <w:tcPr>
            <w:tcW w:w="1559" w:type="dxa"/>
            <w:tcMar>
              <w:top w:w="80" w:type="dxa"/>
              <w:left w:w="100" w:type="dxa"/>
              <w:bottom w:w="80" w:type="dxa"/>
              <w:right w:w="100" w:type="dxa"/>
            </w:tcMar>
          </w:tcPr>
          <w:p w14:paraId="42B9F42D" w14:textId="77777777" w:rsidR="002E1FD6" w:rsidRDefault="002E1FD6" w:rsidP="003A4183">
            <w:pPr>
              <w:jc w:val="center"/>
            </w:pPr>
            <w:r>
              <w:rPr>
                <w:sz w:val="18"/>
              </w:rPr>
              <w:t>6.7%</w:t>
            </w:r>
          </w:p>
        </w:tc>
        <w:tc>
          <w:tcPr>
            <w:tcW w:w="2227" w:type="dxa"/>
            <w:tcMar>
              <w:top w:w="80" w:type="dxa"/>
              <w:left w:w="100" w:type="dxa"/>
              <w:bottom w:w="80" w:type="dxa"/>
              <w:right w:w="100" w:type="dxa"/>
            </w:tcMar>
          </w:tcPr>
          <w:p w14:paraId="72D928F7" w14:textId="77777777" w:rsidR="002E1FD6" w:rsidRDefault="002E1FD6" w:rsidP="003A4183">
            <w:r>
              <w:rPr>
                <w:sz w:val="18"/>
              </w:rPr>
              <w:t>Seguridad Perimetral y de Aplicaciones</w:t>
            </w:r>
          </w:p>
        </w:tc>
      </w:tr>
      <w:tr w:rsidR="002E1FD6" w14:paraId="3AC982C5" w14:textId="77777777" w:rsidTr="003A4183">
        <w:trPr>
          <w:jc w:val="center"/>
        </w:trPr>
        <w:tc>
          <w:tcPr>
            <w:tcW w:w="1985" w:type="dxa"/>
            <w:tcMar>
              <w:top w:w="80" w:type="dxa"/>
              <w:left w:w="100" w:type="dxa"/>
              <w:bottom w:w="80" w:type="dxa"/>
              <w:right w:w="100" w:type="dxa"/>
            </w:tcMar>
          </w:tcPr>
          <w:p w14:paraId="3E18958B" w14:textId="77777777" w:rsidR="002E1FD6" w:rsidRDefault="002E1FD6" w:rsidP="003A4183">
            <w:r>
              <w:rPr>
                <w:sz w:val="18"/>
              </w:rPr>
              <w:t>Almacenamiento (SAN / NAS / Tape)</w:t>
            </w:r>
          </w:p>
        </w:tc>
        <w:tc>
          <w:tcPr>
            <w:tcW w:w="1559" w:type="dxa"/>
            <w:tcMar>
              <w:top w:w="80" w:type="dxa"/>
              <w:left w:w="100" w:type="dxa"/>
              <w:bottom w:w="80" w:type="dxa"/>
              <w:right w:w="100" w:type="dxa"/>
            </w:tcMar>
          </w:tcPr>
          <w:p w14:paraId="502DC179" w14:textId="77777777" w:rsidR="002E1FD6" w:rsidRDefault="002E1FD6" w:rsidP="003A4183">
            <w:pPr>
              <w:jc w:val="center"/>
            </w:pPr>
            <w:r>
              <w:rPr>
                <w:sz w:val="18"/>
              </w:rPr>
              <w:t>9</w:t>
            </w:r>
          </w:p>
        </w:tc>
        <w:tc>
          <w:tcPr>
            <w:tcW w:w="1559" w:type="dxa"/>
            <w:tcMar>
              <w:top w:w="80" w:type="dxa"/>
              <w:left w:w="100" w:type="dxa"/>
              <w:bottom w:w="80" w:type="dxa"/>
              <w:right w:w="100" w:type="dxa"/>
            </w:tcMar>
          </w:tcPr>
          <w:p w14:paraId="06641FD8" w14:textId="77777777" w:rsidR="002E1FD6" w:rsidRDefault="002E1FD6" w:rsidP="003A4183">
            <w:pPr>
              <w:jc w:val="center"/>
            </w:pPr>
            <w:r>
              <w:rPr>
                <w:sz w:val="18"/>
              </w:rPr>
              <w:t>5.5%</w:t>
            </w:r>
          </w:p>
        </w:tc>
        <w:tc>
          <w:tcPr>
            <w:tcW w:w="2227" w:type="dxa"/>
            <w:tcMar>
              <w:top w:w="80" w:type="dxa"/>
              <w:left w:w="100" w:type="dxa"/>
              <w:bottom w:w="80" w:type="dxa"/>
              <w:right w:w="100" w:type="dxa"/>
            </w:tcMar>
          </w:tcPr>
          <w:p w14:paraId="4A264FA0" w14:textId="77777777" w:rsidR="002E1FD6" w:rsidRDefault="002E1FD6" w:rsidP="003A4183">
            <w:r>
              <w:rPr>
                <w:sz w:val="18"/>
              </w:rPr>
              <w:t xml:space="preserve">Resguardo de Datos e Información </w:t>
            </w:r>
            <w:proofErr w:type="spellStart"/>
            <w:r>
              <w:rPr>
                <w:sz w:val="18"/>
              </w:rPr>
              <w:t>Hidrocarburífera</w:t>
            </w:r>
            <w:proofErr w:type="spellEnd"/>
          </w:p>
        </w:tc>
      </w:tr>
      <w:tr w:rsidR="002E1FD6" w14:paraId="658EA8E9" w14:textId="77777777" w:rsidTr="003A4183">
        <w:trPr>
          <w:jc w:val="center"/>
        </w:trPr>
        <w:tc>
          <w:tcPr>
            <w:tcW w:w="1985" w:type="dxa"/>
            <w:tcMar>
              <w:top w:w="80" w:type="dxa"/>
              <w:left w:w="100" w:type="dxa"/>
              <w:bottom w:w="80" w:type="dxa"/>
              <w:right w:w="100" w:type="dxa"/>
            </w:tcMar>
          </w:tcPr>
          <w:p w14:paraId="5FAA8AA5" w14:textId="77777777" w:rsidR="002E1FD6" w:rsidRDefault="002E1FD6" w:rsidP="003A4183">
            <w:r>
              <w:rPr>
                <w:sz w:val="18"/>
              </w:rPr>
              <w:t xml:space="preserve">WAF (Web </w:t>
            </w:r>
            <w:proofErr w:type="spellStart"/>
            <w:r>
              <w:rPr>
                <w:sz w:val="18"/>
              </w:rPr>
              <w:t>Application</w:t>
            </w:r>
            <w:proofErr w:type="spellEnd"/>
            <w:r>
              <w:rPr>
                <w:sz w:val="18"/>
              </w:rPr>
              <w:t xml:space="preserve"> Firewall)</w:t>
            </w:r>
          </w:p>
        </w:tc>
        <w:tc>
          <w:tcPr>
            <w:tcW w:w="1559" w:type="dxa"/>
            <w:tcMar>
              <w:top w:w="80" w:type="dxa"/>
              <w:left w:w="100" w:type="dxa"/>
              <w:bottom w:w="80" w:type="dxa"/>
              <w:right w:w="100" w:type="dxa"/>
            </w:tcMar>
          </w:tcPr>
          <w:p w14:paraId="2C95B5EF" w14:textId="77777777" w:rsidR="002E1FD6" w:rsidRDefault="002E1FD6" w:rsidP="003A4183">
            <w:pPr>
              <w:jc w:val="center"/>
            </w:pPr>
            <w:r>
              <w:rPr>
                <w:sz w:val="18"/>
              </w:rPr>
              <w:t>4</w:t>
            </w:r>
          </w:p>
        </w:tc>
        <w:tc>
          <w:tcPr>
            <w:tcW w:w="1559" w:type="dxa"/>
            <w:tcMar>
              <w:top w:w="80" w:type="dxa"/>
              <w:left w:w="100" w:type="dxa"/>
              <w:bottom w:w="80" w:type="dxa"/>
              <w:right w:w="100" w:type="dxa"/>
            </w:tcMar>
          </w:tcPr>
          <w:p w14:paraId="06714B13" w14:textId="77777777" w:rsidR="002E1FD6" w:rsidRDefault="002E1FD6" w:rsidP="003A4183">
            <w:pPr>
              <w:jc w:val="center"/>
            </w:pPr>
            <w:r>
              <w:rPr>
                <w:sz w:val="18"/>
              </w:rPr>
              <w:t>2.4%</w:t>
            </w:r>
          </w:p>
        </w:tc>
        <w:tc>
          <w:tcPr>
            <w:tcW w:w="2227" w:type="dxa"/>
            <w:tcMar>
              <w:top w:w="80" w:type="dxa"/>
              <w:left w:w="100" w:type="dxa"/>
              <w:bottom w:w="80" w:type="dxa"/>
              <w:right w:w="100" w:type="dxa"/>
            </w:tcMar>
          </w:tcPr>
          <w:p w14:paraId="4359C2B0" w14:textId="77777777" w:rsidR="002E1FD6" w:rsidRDefault="002E1FD6" w:rsidP="003A4183">
            <w:r>
              <w:rPr>
                <w:sz w:val="18"/>
              </w:rPr>
              <w:t>Protección de Servicios Web Institucionales</w:t>
            </w:r>
          </w:p>
        </w:tc>
      </w:tr>
      <w:tr w:rsidR="002E1FD6" w14:paraId="64D782BF" w14:textId="77777777" w:rsidTr="003A4183">
        <w:trPr>
          <w:jc w:val="center"/>
        </w:trPr>
        <w:tc>
          <w:tcPr>
            <w:tcW w:w="1985" w:type="dxa"/>
            <w:tcMar>
              <w:top w:w="80" w:type="dxa"/>
              <w:left w:w="100" w:type="dxa"/>
              <w:bottom w:w="80" w:type="dxa"/>
              <w:right w:w="100" w:type="dxa"/>
            </w:tcMar>
          </w:tcPr>
          <w:p w14:paraId="2CF2DDB8" w14:textId="77777777" w:rsidR="002E1FD6" w:rsidRDefault="002E1FD6" w:rsidP="003A4183">
            <w:proofErr w:type="spellStart"/>
            <w:r>
              <w:rPr>
                <w:sz w:val="18"/>
              </w:rPr>
              <w:t>Appliance</w:t>
            </w:r>
            <w:proofErr w:type="spellEnd"/>
            <w:r>
              <w:rPr>
                <w:sz w:val="18"/>
              </w:rPr>
              <w:t xml:space="preserve"> Técnico</w:t>
            </w:r>
          </w:p>
        </w:tc>
        <w:tc>
          <w:tcPr>
            <w:tcW w:w="1559" w:type="dxa"/>
            <w:tcMar>
              <w:top w:w="80" w:type="dxa"/>
              <w:left w:w="100" w:type="dxa"/>
              <w:bottom w:w="80" w:type="dxa"/>
              <w:right w:w="100" w:type="dxa"/>
            </w:tcMar>
          </w:tcPr>
          <w:p w14:paraId="7C30A4F8" w14:textId="77777777" w:rsidR="002E1FD6" w:rsidRDefault="002E1FD6" w:rsidP="003A4183">
            <w:pPr>
              <w:jc w:val="center"/>
            </w:pPr>
            <w:r>
              <w:rPr>
                <w:sz w:val="18"/>
              </w:rPr>
              <w:t>4</w:t>
            </w:r>
          </w:p>
        </w:tc>
        <w:tc>
          <w:tcPr>
            <w:tcW w:w="1559" w:type="dxa"/>
            <w:tcMar>
              <w:top w:w="80" w:type="dxa"/>
              <w:left w:w="100" w:type="dxa"/>
              <w:bottom w:w="80" w:type="dxa"/>
              <w:right w:w="100" w:type="dxa"/>
            </w:tcMar>
          </w:tcPr>
          <w:p w14:paraId="7135C915" w14:textId="77777777" w:rsidR="002E1FD6" w:rsidRDefault="002E1FD6" w:rsidP="003A4183">
            <w:pPr>
              <w:jc w:val="center"/>
            </w:pPr>
            <w:r>
              <w:rPr>
                <w:sz w:val="18"/>
              </w:rPr>
              <w:t>2.4%</w:t>
            </w:r>
          </w:p>
        </w:tc>
        <w:tc>
          <w:tcPr>
            <w:tcW w:w="2227" w:type="dxa"/>
            <w:tcMar>
              <w:top w:w="80" w:type="dxa"/>
              <w:left w:w="100" w:type="dxa"/>
              <w:bottom w:w="80" w:type="dxa"/>
              <w:right w:w="100" w:type="dxa"/>
            </w:tcMar>
          </w:tcPr>
          <w:p w14:paraId="377028BC" w14:textId="77777777" w:rsidR="002E1FD6" w:rsidRDefault="002E1FD6" w:rsidP="003A4183">
            <w:r>
              <w:rPr>
                <w:sz w:val="18"/>
              </w:rPr>
              <w:t>Servicios de Monitoreo / Especializados</w:t>
            </w:r>
          </w:p>
        </w:tc>
      </w:tr>
      <w:tr w:rsidR="002E1FD6" w14:paraId="075E85A2" w14:textId="77777777" w:rsidTr="003A4183">
        <w:trPr>
          <w:jc w:val="center"/>
        </w:trPr>
        <w:tc>
          <w:tcPr>
            <w:tcW w:w="1985" w:type="dxa"/>
            <w:tcMar>
              <w:top w:w="80" w:type="dxa"/>
              <w:left w:w="100" w:type="dxa"/>
              <w:bottom w:w="80" w:type="dxa"/>
              <w:right w:w="100" w:type="dxa"/>
            </w:tcMar>
          </w:tcPr>
          <w:p w14:paraId="3ABFBA0B" w14:textId="77777777" w:rsidR="002E1FD6" w:rsidRDefault="002E1FD6" w:rsidP="003A4183">
            <w:r>
              <w:rPr>
                <w:sz w:val="18"/>
              </w:rPr>
              <w:lastRenderedPageBreak/>
              <w:t>Balanceador de Carga</w:t>
            </w:r>
          </w:p>
        </w:tc>
        <w:tc>
          <w:tcPr>
            <w:tcW w:w="1559" w:type="dxa"/>
            <w:tcMar>
              <w:top w:w="80" w:type="dxa"/>
              <w:left w:w="100" w:type="dxa"/>
              <w:bottom w:w="80" w:type="dxa"/>
              <w:right w:w="100" w:type="dxa"/>
            </w:tcMar>
          </w:tcPr>
          <w:p w14:paraId="68511DF9" w14:textId="77777777" w:rsidR="002E1FD6" w:rsidRDefault="002E1FD6" w:rsidP="003A4183">
            <w:pPr>
              <w:jc w:val="center"/>
            </w:pPr>
            <w:r>
              <w:rPr>
                <w:sz w:val="18"/>
              </w:rPr>
              <w:t>3</w:t>
            </w:r>
          </w:p>
        </w:tc>
        <w:tc>
          <w:tcPr>
            <w:tcW w:w="1559" w:type="dxa"/>
            <w:tcMar>
              <w:top w:w="80" w:type="dxa"/>
              <w:left w:w="100" w:type="dxa"/>
              <w:bottom w:w="80" w:type="dxa"/>
              <w:right w:w="100" w:type="dxa"/>
            </w:tcMar>
          </w:tcPr>
          <w:p w14:paraId="0AF7BB78" w14:textId="77777777" w:rsidR="002E1FD6" w:rsidRDefault="002E1FD6" w:rsidP="003A4183">
            <w:pPr>
              <w:jc w:val="center"/>
            </w:pPr>
            <w:r>
              <w:rPr>
                <w:sz w:val="18"/>
              </w:rPr>
              <w:t>1.8%</w:t>
            </w:r>
          </w:p>
        </w:tc>
        <w:tc>
          <w:tcPr>
            <w:tcW w:w="2227" w:type="dxa"/>
            <w:tcMar>
              <w:top w:w="80" w:type="dxa"/>
              <w:left w:w="100" w:type="dxa"/>
              <w:bottom w:w="80" w:type="dxa"/>
              <w:right w:w="100" w:type="dxa"/>
            </w:tcMar>
          </w:tcPr>
          <w:p w14:paraId="5CDF8E2F" w14:textId="77777777" w:rsidR="002E1FD6" w:rsidRDefault="002E1FD6" w:rsidP="003A4183">
            <w:r>
              <w:rPr>
                <w:sz w:val="18"/>
              </w:rPr>
              <w:t>Alta Disponibilidad y Distribución de Tráfico</w:t>
            </w:r>
          </w:p>
        </w:tc>
      </w:tr>
      <w:tr w:rsidR="002E1FD6" w14:paraId="7842F741" w14:textId="77777777" w:rsidTr="003A4183">
        <w:trPr>
          <w:jc w:val="center"/>
        </w:trPr>
        <w:tc>
          <w:tcPr>
            <w:tcW w:w="1985" w:type="dxa"/>
            <w:tcMar>
              <w:top w:w="80" w:type="dxa"/>
              <w:left w:w="100" w:type="dxa"/>
              <w:bottom w:w="80" w:type="dxa"/>
              <w:right w:w="100" w:type="dxa"/>
            </w:tcMar>
          </w:tcPr>
          <w:p w14:paraId="5039422F" w14:textId="77777777" w:rsidR="002E1FD6" w:rsidRDefault="002E1FD6" w:rsidP="003A4183">
            <w:r>
              <w:rPr>
                <w:sz w:val="18"/>
              </w:rPr>
              <w:t>Aire Acondicionado de Precisión</w:t>
            </w:r>
          </w:p>
        </w:tc>
        <w:tc>
          <w:tcPr>
            <w:tcW w:w="1559" w:type="dxa"/>
            <w:tcMar>
              <w:top w:w="80" w:type="dxa"/>
              <w:left w:w="100" w:type="dxa"/>
              <w:bottom w:w="80" w:type="dxa"/>
              <w:right w:w="100" w:type="dxa"/>
            </w:tcMar>
          </w:tcPr>
          <w:p w14:paraId="3FACF6F7" w14:textId="77777777" w:rsidR="002E1FD6" w:rsidRDefault="002E1FD6" w:rsidP="003A4183">
            <w:pPr>
              <w:jc w:val="center"/>
            </w:pPr>
            <w:r>
              <w:rPr>
                <w:sz w:val="18"/>
              </w:rPr>
              <w:t>2</w:t>
            </w:r>
          </w:p>
        </w:tc>
        <w:tc>
          <w:tcPr>
            <w:tcW w:w="1559" w:type="dxa"/>
            <w:tcMar>
              <w:top w:w="80" w:type="dxa"/>
              <w:left w:w="100" w:type="dxa"/>
              <w:bottom w:w="80" w:type="dxa"/>
              <w:right w:w="100" w:type="dxa"/>
            </w:tcMar>
          </w:tcPr>
          <w:p w14:paraId="698B3F2A" w14:textId="77777777" w:rsidR="002E1FD6" w:rsidRDefault="002E1FD6" w:rsidP="003A4183">
            <w:pPr>
              <w:jc w:val="center"/>
            </w:pPr>
            <w:r>
              <w:rPr>
                <w:sz w:val="18"/>
              </w:rPr>
              <w:t>1.2%</w:t>
            </w:r>
          </w:p>
        </w:tc>
        <w:tc>
          <w:tcPr>
            <w:tcW w:w="2227" w:type="dxa"/>
            <w:tcMar>
              <w:top w:w="80" w:type="dxa"/>
              <w:left w:w="100" w:type="dxa"/>
              <w:bottom w:w="80" w:type="dxa"/>
              <w:right w:w="100" w:type="dxa"/>
            </w:tcMar>
          </w:tcPr>
          <w:p w14:paraId="1E031B81" w14:textId="77777777" w:rsidR="002E1FD6" w:rsidRDefault="002E1FD6" w:rsidP="003A4183">
            <w:r>
              <w:rPr>
                <w:sz w:val="18"/>
              </w:rPr>
              <w:t>Soporte Ambiental de Data Center</w:t>
            </w:r>
          </w:p>
        </w:tc>
      </w:tr>
      <w:tr w:rsidR="002E1FD6" w14:paraId="37B44A82" w14:textId="77777777" w:rsidTr="003A4183">
        <w:trPr>
          <w:jc w:val="center"/>
        </w:trPr>
        <w:tc>
          <w:tcPr>
            <w:tcW w:w="1985" w:type="dxa"/>
            <w:tcMar>
              <w:top w:w="80" w:type="dxa"/>
              <w:left w:w="100" w:type="dxa"/>
              <w:bottom w:w="80" w:type="dxa"/>
              <w:right w:w="100" w:type="dxa"/>
            </w:tcMar>
          </w:tcPr>
          <w:p w14:paraId="3C147F2F" w14:textId="77777777" w:rsidR="002E1FD6" w:rsidRDefault="002E1FD6" w:rsidP="003A4183">
            <w:proofErr w:type="spellStart"/>
            <w:r>
              <w:rPr>
                <w:sz w:val="18"/>
              </w:rPr>
              <w:t>Router</w:t>
            </w:r>
            <w:proofErr w:type="spellEnd"/>
          </w:p>
        </w:tc>
        <w:tc>
          <w:tcPr>
            <w:tcW w:w="1559" w:type="dxa"/>
            <w:tcMar>
              <w:top w:w="80" w:type="dxa"/>
              <w:left w:w="100" w:type="dxa"/>
              <w:bottom w:w="80" w:type="dxa"/>
              <w:right w:w="100" w:type="dxa"/>
            </w:tcMar>
          </w:tcPr>
          <w:p w14:paraId="7960109A" w14:textId="77777777" w:rsidR="002E1FD6" w:rsidRDefault="002E1FD6" w:rsidP="003A4183">
            <w:pPr>
              <w:jc w:val="center"/>
            </w:pPr>
            <w:r>
              <w:rPr>
                <w:sz w:val="18"/>
              </w:rPr>
              <w:t>1</w:t>
            </w:r>
          </w:p>
        </w:tc>
        <w:tc>
          <w:tcPr>
            <w:tcW w:w="1559" w:type="dxa"/>
            <w:tcMar>
              <w:top w:w="80" w:type="dxa"/>
              <w:left w:w="100" w:type="dxa"/>
              <w:bottom w:w="80" w:type="dxa"/>
              <w:right w:w="100" w:type="dxa"/>
            </w:tcMar>
          </w:tcPr>
          <w:p w14:paraId="7569DEAD" w14:textId="77777777" w:rsidR="002E1FD6" w:rsidRDefault="002E1FD6" w:rsidP="003A4183">
            <w:pPr>
              <w:jc w:val="center"/>
            </w:pPr>
            <w:r>
              <w:rPr>
                <w:sz w:val="18"/>
              </w:rPr>
              <w:t>0.6%</w:t>
            </w:r>
          </w:p>
        </w:tc>
        <w:tc>
          <w:tcPr>
            <w:tcW w:w="2227" w:type="dxa"/>
            <w:tcMar>
              <w:top w:w="80" w:type="dxa"/>
              <w:left w:w="100" w:type="dxa"/>
              <w:bottom w:w="80" w:type="dxa"/>
              <w:right w:w="100" w:type="dxa"/>
            </w:tcMar>
          </w:tcPr>
          <w:p w14:paraId="79908110" w14:textId="77777777" w:rsidR="002E1FD6" w:rsidRDefault="002E1FD6" w:rsidP="003A4183">
            <w:r>
              <w:rPr>
                <w:sz w:val="18"/>
              </w:rPr>
              <w:t>Enrutamiento Perimetral / WAN</w:t>
            </w:r>
          </w:p>
        </w:tc>
      </w:tr>
      <w:tr w:rsidR="002E1FD6" w14:paraId="2FBFE9B9" w14:textId="77777777" w:rsidTr="003A4183">
        <w:trPr>
          <w:jc w:val="center"/>
        </w:trPr>
        <w:tc>
          <w:tcPr>
            <w:tcW w:w="1985" w:type="dxa"/>
            <w:shd w:val="clear" w:color="auto" w:fill="1F3864" w:themeFill="accent1" w:themeFillShade="80"/>
            <w:tcMar>
              <w:top w:w="80" w:type="dxa"/>
              <w:left w:w="100" w:type="dxa"/>
              <w:bottom w:w="80" w:type="dxa"/>
              <w:right w:w="100" w:type="dxa"/>
            </w:tcMar>
            <w:vAlign w:val="center"/>
          </w:tcPr>
          <w:p w14:paraId="1A9B3545" w14:textId="77777777" w:rsidR="002E1FD6" w:rsidRPr="004D29DB" w:rsidRDefault="002E1FD6" w:rsidP="003A4183">
            <w:pPr>
              <w:jc w:val="center"/>
              <w:rPr>
                <w:b/>
                <w:color w:val="FFFFFF"/>
                <w:sz w:val="19"/>
              </w:rPr>
            </w:pPr>
            <w:proofErr w:type="gramStart"/>
            <w:r>
              <w:rPr>
                <w:b/>
                <w:color w:val="FFFFFF"/>
                <w:sz w:val="19"/>
              </w:rPr>
              <w:t>TOTAL</w:t>
            </w:r>
            <w:proofErr w:type="gramEnd"/>
            <w:r>
              <w:rPr>
                <w:b/>
                <w:color w:val="FFFFFF"/>
                <w:sz w:val="19"/>
              </w:rPr>
              <w:t xml:space="preserve"> REGISTRADO</w:t>
            </w:r>
          </w:p>
        </w:tc>
        <w:tc>
          <w:tcPr>
            <w:tcW w:w="1559" w:type="dxa"/>
            <w:shd w:val="clear" w:color="auto" w:fill="1F3864" w:themeFill="accent1" w:themeFillShade="80"/>
            <w:tcMar>
              <w:top w:w="80" w:type="dxa"/>
              <w:left w:w="100" w:type="dxa"/>
              <w:bottom w:w="80" w:type="dxa"/>
              <w:right w:w="100" w:type="dxa"/>
            </w:tcMar>
            <w:vAlign w:val="center"/>
          </w:tcPr>
          <w:p w14:paraId="4F575BF3" w14:textId="77777777" w:rsidR="002E1FD6" w:rsidRPr="004D29DB" w:rsidRDefault="002E1FD6" w:rsidP="003A4183">
            <w:pPr>
              <w:jc w:val="center"/>
              <w:rPr>
                <w:b/>
                <w:color w:val="FFFFFF"/>
                <w:sz w:val="19"/>
              </w:rPr>
            </w:pPr>
            <w:r>
              <w:rPr>
                <w:b/>
                <w:color w:val="FFFFFF"/>
                <w:sz w:val="19"/>
              </w:rPr>
              <w:t>165</w:t>
            </w:r>
          </w:p>
        </w:tc>
        <w:tc>
          <w:tcPr>
            <w:tcW w:w="1559" w:type="dxa"/>
            <w:shd w:val="clear" w:color="auto" w:fill="1F3864" w:themeFill="accent1" w:themeFillShade="80"/>
            <w:tcMar>
              <w:top w:w="80" w:type="dxa"/>
              <w:left w:w="100" w:type="dxa"/>
              <w:bottom w:w="80" w:type="dxa"/>
              <w:right w:w="100" w:type="dxa"/>
            </w:tcMar>
            <w:vAlign w:val="center"/>
          </w:tcPr>
          <w:p w14:paraId="656F68D8" w14:textId="77777777" w:rsidR="002E1FD6" w:rsidRPr="004D29DB" w:rsidRDefault="002E1FD6" w:rsidP="003A4183">
            <w:pPr>
              <w:jc w:val="center"/>
              <w:rPr>
                <w:b/>
                <w:color w:val="FFFFFF"/>
                <w:sz w:val="19"/>
              </w:rPr>
            </w:pPr>
            <w:r>
              <w:rPr>
                <w:b/>
                <w:color w:val="FFFFFF"/>
                <w:sz w:val="19"/>
              </w:rPr>
              <w:t>100.0%</w:t>
            </w:r>
          </w:p>
        </w:tc>
        <w:tc>
          <w:tcPr>
            <w:tcW w:w="2227" w:type="dxa"/>
            <w:shd w:val="clear" w:color="auto" w:fill="1F3864" w:themeFill="accent1" w:themeFillShade="80"/>
            <w:tcMar>
              <w:top w:w="80" w:type="dxa"/>
              <w:left w:w="100" w:type="dxa"/>
              <w:bottom w:w="80" w:type="dxa"/>
              <w:right w:w="100" w:type="dxa"/>
            </w:tcMar>
            <w:vAlign w:val="center"/>
          </w:tcPr>
          <w:p w14:paraId="7E161210" w14:textId="77777777" w:rsidR="002E1FD6" w:rsidRPr="004D29DB" w:rsidRDefault="002E1FD6" w:rsidP="003A4183">
            <w:pPr>
              <w:jc w:val="center"/>
              <w:rPr>
                <w:b/>
                <w:color w:val="FFFFFF"/>
                <w:sz w:val="19"/>
              </w:rPr>
            </w:pPr>
            <w:r>
              <w:rPr>
                <w:b/>
                <w:color w:val="FFFFFF"/>
                <w:sz w:val="19"/>
              </w:rPr>
              <w:t>Infraestructura Sectorial ANH</w:t>
            </w:r>
          </w:p>
        </w:tc>
      </w:tr>
    </w:tbl>
    <w:p w14:paraId="70762610" w14:textId="77777777" w:rsidR="002E1FD6" w:rsidRPr="0056593F" w:rsidRDefault="002E1FD6" w:rsidP="002E1FD6">
      <w:pPr>
        <w:keepNext/>
        <w:keepLines/>
        <w:jc w:val="both"/>
        <w:rPr>
          <w:i/>
          <w:iCs/>
          <w:color w:val="595959"/>
          <w:sz w:val="18"/>
          <w:szCs w:val="18"/>
        </w:rPr>
      </w:pPr>
      <w:r>
        <w:rPr>
          <w:i/>
          <w:iCs/>
          <w:color w:val="595959"/>
          <w:sz w:val="18"/>
          <w:szCs w:val="18"/>
        </w:rPr>
        <w:t xml:space="preserve">                   Tabla 1: Composición de la Infraestructura Registrada (ANH)</w:t>
      </w:r>
    </w:p>
    <w:p w14:paraId="7F9F1511" w14:textId="77777777" w:rsidR="002E1FD6" w:rsidRDefault="002E1FD6" w:rsidP="002E1FD6">
      <w:pPr>
        <w:jc w:val="both"/>
        <w:rPr>
          <w:rFonts w:ascii="Arial" w:hAnsi="Arial" w:cs="Arial"/>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39"/>
        <w:gridCol w:w="1276"/>
        <w:gridCol w:w="1559"/>
      </w:tblGrid>
      <w:tr w:rsidR="002E1FD6" w14:paraId="051EF8DE" w14:textId="77777777" w:rsidTr="003A4183">
        <w:trPr>
          <w:tblHeader/>
          <w:jc w:val="center"/>
        </w:trPr>
        <w:tc>
          <w:tcPr>
            <w:tcW w:w="3539" w:type="dxa"/>
            <w:shd w:val="clear" w:color="auto" w:fill="1F3864"/>
            <w:tcMar>
              <w:top w:w="80" w:type="dxa"/>
              <w:left w:w="100" w:type="dxa"/>
              <w:bottom w:w="80" w:type="dxa"/>
              <w:right w:w="100" w:type="dxa"/>
            </w:tcMar>
            <w:vAlign w:val="center"/>
          </w:tcPr>
          <w:p w14:paraId="14F824B0" w14:textId="77777777" w:rsidR="002E1FD6" w:rsidRDefault="002E1FD6" w:rsidP="003A4183">
            <w:pPr>
              <w:jc w:val="center"/>
            </w:pPr>
            <w:r>
              <w:rPr>
                <w:b/>
                <w:bCs/>
                <w:color w:val="FFFFFF"/>
                <w:sz w:val="20"/>
                <w:szCs w:val="20"/>
              </w:rPr>
              <w:t>Indicador</w:t>
            </w:r>
          </w:p>
        </w:tc>
        <w:tc>
          <w:tcPr>
            <w:tcW w:w="1276" w:type="dxa"/>
            <w:shd w:val="clear" w:color="auto" w:fill="1F3864"/>
            <w:tcMar>
              <w:top w:w="80" w:type="dxa"/>
              <w:left w:w="100" w:type="dxa"/>
              <w:bottom w:w="80" w:type="dxa"/>
              <w:right w:w="100" w:type="dxa"/>
            </w:tcMar>
            <w:vAlign w:val="center"/>
          </w:tcPr>
          <w:p w14:paraId="0EA442FD" w14:textId="77777777" w:rsidR="002E1FD6" w:rsidRDefault="002E1FD6" w:rsidP="003A4183">
            <w:pPr>
              <w:jc w:val="center"/>
            </w:pPr>
            <w:r>
              <w:rPr>
                <w:b/>
                <w:bCs/>
                <w:color w:val="FFFFFF"/>
                <w:sz w:val="20"/>
                <w:szCs w:val="20"/>
              </w:rPr>
              <w:t>Valor</w:t>
            </w:r>
          </w:p>
        </w:tc>
        <w:tc>
          <w:tcPr>
            <w:tcW w:w="1559" w:type="dxa"/>
            <w:shd w:val="clear" w:color="auto" w:fill="1F3864"/>
            <w:tcMar>
              <w:top w:w="80" w:type="dxa"/>
              <w:left w:w="100" w:type="dxa"/>
              <w:bottom w:w="80" w:type="dxa"/>
              <w:right w:w="100" w:type="dxa"/>
            </w:tcMar>
            <w:vAlign w:val="center"/>
          </w:tcPr>
          <w:p w14:paraId="4EAAAF96" w14:textId="77777777" w:rsidR="002E1FD6" w:rsidRDefault="002E1FD6" w:rsidP="003A4183">
            <w:pPr>
              <w:jc w:val="center"/>
            </w:pPr>
            <w:r>
              <w:rPr>
                <w:b/>
                <w:bCs/>
                <w:color w:val="FFFFFF"/>
                <w:sz w:val="20"/>
                <w:szCs w:val="20"/>
              </w:rPr>
              <w:t>Participación</w:t>
            </w:r>
          </w:p>
        </w:tc>
      </w:tr>
      <w:tr w:rsidR="002E1FD6" w14:paraId="59C73A70" w14:textId="77777777" w:rsidTr="003A4183">
        <w:trPr>
          <w:jc w:val="center"/>
        </w:trPr>
        <w:tc>
          <w:tcPr>
            <w:tcW w:w="3539" w:type="dxa"/>
            <w:tcMar>
              <w:top w:w="80" w:type="dxa"/>
              <w:left w:w="100" w:type="dxa"/>
              <w:bottom w:w="80" w:type="dxa"/>
              <w:right w:w="100" w:type="dxa"/>
            </w:tcMar>
            <w:vAlign w:val="center"/>
          </w:tcPr>
          <w:p w14:paraId="103E1B4B" w14:textId="77777777" w:rsidR="002E1FD6" w:rsidRDefault="002E1FD6" w:rsidP="003A4183">
            <w:r>
              <w:rPr>
                <w:color w:val="222222"/>
                <w:sz w:val="20"/>
                <w:szCs w:val="20"/>
              </w:rPr>
              <w:t>Elementos catalogados (total)</w:t>
            </w:r>
          </w:p>
        </w:tc>
        <w:tc>
          <w:tcPr>
            <w:tcW w:w="1276" w:type="dxa"/>
            <w:tcMar>
              <w:top w:w="80" w:type="dxa"/>
              <w:left w:w="100" w:type="dxa"/>
              <w:bottom w:w="80" w:type="dxa"/>
              <w:right w:w="100" w:type="dxa"/>
            </w:tcMar>
            <w:vAlign w:val="center"/>
          </w:tcPr>
          <w:p w14:paraId="39A9BA07" w14:textId="77777777" w:rsidR="002E1FD6" w:rsidRDefault="002E1FD6" w:rsidP="003A4183">
            <w:pPr>
              <w:jc w:val="center"/>
            </w:pPr>
            <w:r>
              <w:rPr>
                <w:color w:val="222222"/>
                <w:sz w:val="20"/>
                <w:szCs w:val="20"/>
              </w:rPr>
              <w:t>165</w:t>
            </w:r>
          </w:p>
        </w:tc>
        <w:tc>
          <w:tcPr>
            <w:tcW w:w="1559" w:type="dxa"/>
            <w:tcMar>
              <w:top w:w="80" w:type="dxa"/>
              <w:left w:w="100" w:type="dxa"/>
              <w:bottom w:w="80" w:type="dxa"/>
              <w:right w:w="100" w:type="dxa"/>
            </w:tcMar>
            <w:vAlign w:val="center"/>
          </w:tcPr>
          <w:p w14:paraId="3F5277B5" w14:textId="77777777" w:rsidR="002E1FD6" w:rsidRDefault="002E1FD6" w:rsidP="003A4183">
            <w:pPr>
              <w:jc w:val="center"/>
            </w:pPr>
            <w:r>
              <w:rPr>
                <w:color w:val="222222"/>
                <w:sz w:val="20"/>
                <w:szCs w:val="20"/>
              </w:rPr>
              <w:t>100%</w:t>
            </w:r>
          </w:p>
        </w:tc>
      </w:tr>
      <w:tr w:rsidR="002E1FD6" w14:paraId="36210593" w14:textId="77777777" w:rsidTr="003A4183">
        <w:trPr>
          <w:jc w:val="center"/>
        </w:trPr>
        <w:tc>
          <w:tcPr>
            <w:tcW w:w="3539" w:type="dxa"/>
            <w:shd w:val="clear" w:color="auto" w:fill="F2F2F2"/>
            <w:tcMar>
              <w:top w:w="80" w:type="dxa"/>
              <w:left w:w="100" w:type="dxa"/>
              <w:bottom w:w="80" w:type="dxa"/>
              <w:right w:w="100" w:type="dxa"/>
            </w:tcMar>
            <w:vAlign w:val="center"/>
          </w:tcPr>
          <w:p w14:paraId="4B19B2CE" w14:textId="77777777" w:rsidR="002E1FD6" w:rsidRDefault="002E1FD6" w:rsidP="003A4183">
            <w:r>
              <w:rPr>
                <w:color w:val="222222"/>
                <w:sz w:val="20"/>
                <w:szCs w:val="20"/>
              </w:rPr>
              <w:t>Estado ACTIVO</w:t>
            </w:r>
          </w:p>
        </w:tc>
        <w:tc>
          <w:tcPr>
            <w:tcW w:w="1276" w:type="dxa"/>
            <w:shd w:val="clear" w:color="auto" w:fill="F2F2F2"/>
            <w:tcMar>
              <w:top w:w="80" w:type="dxa"/>
              <w:left w:w="100" w:type="dxa"/>
              <w:bottom w:w="80" w:type="dxa"/>
              <w:right w:w="100" w:type="dxa"/>
            </w:tcMar>
            <w:vAlign w:val="center"/>
          </w:tcPr>
          <w:p w14:paraId="33ED53B1" w14:textId="77777777" w:rsidR="002E1FD6" w:rsidRDefault="002E1FD6" w:rsidP="003A4183">
            <w:pPr>
              <w:jc w:val="center"/>
            </w:pPr>
            <w:r>
              <w:rPr>
                <w:color w:val="222222"/>
                <w:sz w:val="20"/>
                <w:szCs w:val="20"/>
              </w:rPr>
              <w:t>141</w:t>
            </w:r>
          </w:p>
        </w:tc>
        <w:tc>
          <w:tcPr>
            <w:tcW w:w="1559" w:type="dxa"/>
            <w:shd w:val="clear" w:color="auto" w:fill="F2F2F2"/>
            <w:tcMar>
              <w:top w:w="80" w:type="dxa"/>
              <w:left w:w="100" w:type="dxa"/>
              <w:bottom w:w="80" w:type="dxa"/>
              <w:right w:w="100" w:type="dxa"/>
            </w:tcMar>
            <w:vAlign w:val="center"/>
          </w:tcPr>
          <w:p w14:paraId="32B07263" w14:textId="77777777" w:rsidR="002E1FD6" w:rsidRDefault="002E1FD6" w:rsidP="003A4183">
            <w:pPr>
              <w:jc w:val="center"/>
            </w:pPr>
            <w:r>
              <w:rPr>
                <w:color w:val="222222"/>
                <w:sz w:val="20"/>
                <w:szCs w:val="20"/>
              </w:rPr>
              <w:t>85,5%</w:t>
            </w:r>
          </w:p>
        </w:tc>
      </w:tr>
      <w:tr w:rsidR="002E1FD6" w14:paraId="15D91C40" w14:textId="77777777" w:rsidTr="003A4183">
        <w:trPr>
          <w:jc w:val="center"/>
        </w:trPr>
        <w:tc>
          <w:tcPr>
            <w:tcW w:w="3539" w:type="dxa"/>
            <w:tcMar>
              <w:top w:w="80" w:type="dxa"/>
              <w:left w:w="100" w:type="dxa"/>
              <w:bottom w:w="80" w:type="dxa"/>
              <w:right w:w="100" w:type="dxa"/>
            </w:tcMar>
            <w:vAlign w:val="center"/>
          </w:tcPr>
          <w:p w14:paraId="2BDFA86D" w14:textId="77777777" w:rsidR="002E1FD6" w:rsidRDefault="002E1FD6" w:rsidP="003A4183">
            <w:r>
              <w:rPr>
                <w:color w:val="222222"/>
                <w:sz w:val="20"/>
                <w:szCs w:val="20"/>
              </w:rPr>
              <w:t>Estado INACTIVO</w:t>
            </w:r>
          </w:p>
        </w:tc>
        <w:tc>
          <w:tcPr>
            <w:tcW w:w="1276" w:type="dxa"/>
            <w:tcMar>
              <w:top w:w="80" w:type="dxa"/>
              <w:left w:w="100" w:type="dxa"/>
              <w:bottom w:w="80" w:type="dxa"/>
              <w:right w:w="100" w:type="dxa"/>
            </w:tcMar>
            <w:vAlign w:val="center"/>
          </w:tcPr>
          <w:p w14:paraId="3E4D3723" w14:textId="77777777" w:rsidR="002E1FD6" w:rsidRDefault="002E1FD6" w:rsidP="003A4183">
            <w:pPr>
              <w:jc w:val="center"/>
            </w:pPr>
            <w:r>
              <w:rPr>
                <w:color w:val="222222"/>
                <w:sz w:val="20"/>
                <w:szCs w:val="20"/>
              </w:rPr>
              <w:t>24</w:t>
            </w:r>
          </w:p>
        </w:tc>
        <w:tc>
          <w:tcPr>
            <w:tcW w:w="1559" w:type="dxa"/>
            <w:tcMar>
              <w:top w:w="80" w:type="dxa"/>
              <w:left w:w="100" w:type="dxa"/>
              <w:bottom w:w="80" w:type="dxa"/>
              <w:right w:w="100" w:type="dxa"/>
            </w:tcMar>
            <w:vAlign w:val="center"/>
          </w:tcPr>
          <w:p w14:paraId="334915E1" w14:textId="77777777" w:rsidR="002E1FD6" w:rsidRDefault="002E1FD6" w:rsidP="003A4183">
            <w:pPr>
              <w:jc w:val="center"/>
            </w:pPr>
            <w:r>
              <w:rPr>
                <w:color w:val="222222"/>
                <w:sz w:val="20"/>
                <w:szCs w:val="20"/>
              </w:rPr>
              <w:t>14,5%</w:t>
            </w:r>
          </w:p>
        </w:tc>
      </w:tr>
      <w:tr w:rsidR="002E1FD6" w14:paraId="1F457191" w14:textId="77777777" w:rsidTr="003A4183">
        <w:trPr>
          <w:jc w:val="center"/>
        </w:trPr>
        <w:tc>
          <w:tcPr>
            <w:tcW w:w="3539" w:type="dxa"/>
            <w:shd w:val="clear" w:color="auto" w:fill="F2F2F2"/>
            <w:tcMar>
              <w:top w:w="80" w:type="dxa"/>
              <w:left w:w="100" w:type="dxa"/>
              <w:bottom w:w="80" w:type="dxa"/>
              <w:right w:w="100" w:type="dxa"/>
            </w:tcMar>
            <w:vAlign w:val="center"/>
          </w:tcPr>
          <w:p w14:paraId="451D8FFA" w14:textId="77777777" w:rsidR="002E1FD6" w:rsidRDefault="002E1FD6" w:rsidP="003A4183">
            <w:proofErr w:type="spellStart"/>
            <w:r>
              <w:rPr>
                <w:color w:val="222222"/>
                <w:sz w:val="20"/>
                <w:szCs w:val="20"/>
              </w:rPr>
              <w:t>On</w:t>
            </w:r>
            <w:proofErr w:type="spellEnd"/>
            <w:r>
              <w:rPr>
                <w:color w:val="222222"/>
                <w:sz w:val="20"/>
                <w:szCs w:val="20"/>
              </w:rPr>
              <w:t xml:space="preserve"> Premises / </w:t>
            </w:r>
            <w:proofErr w:type="spellStart"/>
            <w:r>
              <w:rPr>
                <w:color w:val="222222"/>
                <w:sz w:val="20"/>
                <w:szCs w:val="20"/>
              </w:rPr>
              <w:t>Colocation</w:t>
            </w:r>
            <w:proofErr w:type="spellEnd"/>
          </w:p>
        </w:tc>
        <w:tc>
          <w:tcPr>
            <w:tcW w:w="1276" w:type="dxa"/>
            <w:shd w:val="clear" w:color="auto" w:fill="F2F2F2"/>
            <w:tcMar>
              <w:top w:w="80" w:type="dxa"/>
              <w:left w:w="100" w:type="dxa"/>
              <w:bottom w:w="80" w:type="dxa"/>
              <w:right w:w="100" w:type="dxa"/>
            </w:tcMar>
            <w:vAlign w:val="center"/>
          </w:tcPr>
          <w:p w14:paraId="1A2943A9" w14:textId="77777777" w:rsidR="002E1FD6" w:rsidRDefault="002E1FD6" w:rsidP="003A4183">
            <w:pPr>
              <w:jc w:val="center"/>
            </w:pPr>
            <w:r>
              <w:rPr>
                <w:color w:val="222222"/>
                <w:sz w:val="20"/>
                <w:szCs w:val="20"/>
              </w:rPr>
              <w:t>162</w:t>
            </w:r>
          </w:p>
        </w:tc>
        <w:tc>
          <w:tcPr>
            <w:tcW w:w="1559" w:type="dxa"/>
            <w:shd w:val="clear" w:color="auto" w:fill="F2F2F2"/>
            <w:tcMar>
              <w:top w:w="80" w:type="dxa"/>
              <w:left w:w="100" w:type="dxa"/>
              <w:bottom w:w="80" w:type="dxa"/>
              <w:right w:w="100" w:type="dxa"/>
            </w:tcMar>
            <w:vAlign w:val="center"/>
          </w:tcPr>
          <w:p w14:paraId="3C157C11" w14:textId="77777777" w:rsidR="002E1FD6" w:rsidRDefault="002E1FD6" w:rsidP="003A4183">
            <w:pPr>
              <w:jc w:val="center"/>
            </w:pPr>
            <w:r>
              <w:rPr>
                <w:color w:val="222222"/>
                <w:sz w:val="20"/>
                <w:szCs w:val="20"/>
              </w:rPr>
              <w:t>98%</w:t>
            </w:r>
          </w:p>
        </w:tc>
      </w:tr>
      <w:tr w:rsidR="002E1FD6" w14:paraId="13A0F3C1" w14:textId="77777777" w:rsidTr="003A4183">
        <w:trPr>
          <w:jc w:val="center"/>
        </w:trPr>
        <w:tc>
          <w:tcPr>
            <w:tcW w:w="3539" w:type="dxa"/>
            <w:tcMar>
              <w:top w:w="80" w:type="dxa"/>
              <w:left w:w="100" w:type="dxa"/>
              <w:bottom w:w="80" w:type="dxa"/>
              <w:right w:w="100" w:type="dxa"/>
            </w:tcMar>
            <w:vAlign w:val="center"/>
          </w:tcPr>
          <w:p w14:paraId="462295E7" w14:textId="77777777" w:rsidR="002E1FD6" w:rsidRDefault="002E1FD6" w:rsidP="003A4183">
            <w:r>
              <w:rPr>
                <w:color w:val="222222"/>
                <w:sz w:val="20"/>
                <w:szCs w:val="20"/>
              </w:rPr>
              <w:t>Plataforma como Servicio (nube)</w:t>
            </w:r>
          </w:p>
        </w:tc>
        <w:tc>
          <w:tcPr>
            <w:tcW w:w="1276" w:type="dxa"/>
            <w:tcMar>
              <w:top w:w="80" w:type="dxa"/>
              <w:left w:w="100" w:type="dxa"/>
              <w:bottom w:w="80" w:type="dxa"/>
              <w:right w:w="100" w:type="dxa"/>
            </w:tcMar>
            <w:vAlign w:val="center"/>
          </w:tcPr>
          <w:p w14:paraId="37DD8AAC" w14:textId="77777777" w:rsidR="002E1FD6" w:rsidRDefault="002E1FD6" w:rsidP="003A4183">
            <w:pPr>
              <w:jc w:val="center"/>
            </w:pPr>
            <w:r>
              <w:rPr>
                <w:color w:val="222222"/>
                <w:sz w:val="20"/>
                <w:szCs w:val="20"/>
              </w:rPr>
              <w:t>3</w:t>
            </w:r>
          </w:p>
        </w:tc>
        <w:tc>
          <w:tcPr>
            <w:tcW w:w="1559" w:type="dxa"/>
            <w:tcMar>
              <w:top w:w="80" w:type="dxa"/>
              <w:left w:w="100" w:type="dxa"/>
              <w:bottom w:w="80" w:type="dxa"/>
              <w:right w:w="100" w:type="dxa"/>
            </w:tcMar>
            <w:vAlign w:val="center"/>
          </w:tcPr>
          <w:p w14:paraId="491DB476" w14:textId="77777777" w:rsidR="002E1FD6" w:rsidRDefault="002E1FD6" w:rsidP="003A4183">
            <w:pPr>
              <w:jc w:val="center"/>
            </w:pPr>
            <w:r>
              <w:rPr>
                <w:color w:val="222222"/>
                <w:sz w:val="20"/>
                <w:szCs w:val="20"/>
              </w:rPr>
              <w:t>2%</w:t>
            </w:r>
          </w:p>
        </w:tc>
      </w:tr>
      <w:tr w:rsidR="002E1FD6" w14:paraId="3E217627" w14:textId="77777777" w:rsidTr="003A4183">
        <w:trPr>
          <w:jc w:val="center"/>
        </w:trPr>
        <w:tc>
          <w:tcPr>
            <w:tcW w:w="3539" w:type="dxa"/>
            <w:shd w:val="clear" w:color="auto" w:fill="F2F2F2"/>
            <w:tcMar>
              <w:top w:w="80" w:type="dxa"/>
              <w:left w:w="100" w:type="dxa"/>
              <w:bottom w:w="80" w:type="dxa"/>
              <w:right w:w="100" w:type="dxa"/>
            </w:tcMar>
            <w:vAlign w:val="center"/>
          </w:tcPr>
          <w:p w14:paraId="20B3E145" w14:textId="77777777" w:rsidR="002E1FD6" w:rsidRDefault="002E1FD6" w:rsidP="003A4183">
            <w:r>
              <w:rPr>
                <w:color w:val="222222"/>
                <w:sz w:val="20"/>
                <w:szCs w:val="20"/>
              </w:rPr>
              <w:t>Registros con fecha de corte 2025-09-24</w:t>
            </w:r>
          </w:p>
        </w:tc>
        <w:tc>
          <w:tcPr>
            <w:tcW w:w="1276" w:type="dxa"/>
            <w:shd w:val="clear" w:color="auto" w:fill="F2F2F2"/>
            <w:tcMar>
              <w:top w:w="80" w:type="dxa"/>
              <w:left w:w="100" w:type="dxa"/>
              <w:bottom w:w="80" w:type="dxa"/>
              <w:right w:w="100" w:type="dxa"/>
            </w:tcMar>
            <w:vAlign w:val="center"/>
          </w:tcPr>
          <w:p w14:paraId="2FD5E9B6" w14:textId="77777777" w:rsidR="002E1FD6" w:rsidRDefault="002E1FD6" w:rsidP="003A4183">
            <w:pPr>
              <w:jc w:val="center"/>
            </w:pPr>
            <w:r>
              <w:rPr>
                <w:color w:val="222222"/>
                <w:sz w:val="20"/>
                <w:szCs w:val="20"/>
              </w:rPr>
              <w:t>137</w:t>
            </w:r>
          </w:p>
        </w:tc>
        <w:tc>
          <w:tcPr>
            <w:tcW w:w="1559" w:type="dxa"/>
            <w:shd w:val="clear" w:color="auto" w:fill="F2F2F2"/>
            <w:tcMar>
              <w:top w:w="80" w:type="dxa"/>
              <w:left w:w="100" w:type="dxa"/>
              <w:bottom w:w="80" w:type="dxa"/>
              <w:right w:w="100" w:type="dxa"/>
            </w:tcMar>
            <w:vAlign w:val="center"/>
          </w:tcPr>
          <w:p w14:paraId="3C73B632" w14:textId="77777777" w:rsidR="002E1FD6" w:rsidRDefault="002E1FD6" w:rsidP="003A4183">
            <w:pPr>
              <w:jc w:val="center"/>
            </w:pPr>
            <w:r>
              <w:rPr>
                <w:color w:val="222222"/>
                <w:sz w:val="20"/>
                <w:szCs w:val="20"/>
              </w:rPr>
              <w:t>83%</w:t>
            </w:r>
          </w:p>
        </w:tc>
      </w:tr>
      <w:tr w:rsidR="002E1FD6" w14:paraId="3601BB41" w14:textId="77777777" w:rsidTr="003A4183">
        <w:trPr>
          <w:jc w:val="center"/>
        </w:trPr>
        <w:tc>
          <w:tcPr>
            <w:tcW w:w="3539" w:type="dxa"/>
            <w:tcMar>
              <w:top w:w="80" w:type="dxa"/>
              <w:left w:w="100" w:type="dxa"/>
              <w:bottom w:w="80" w:type="dxa"/>
              <w:right w:w="100" w:type="dxa"/>
            </w:tcMar>
            <w:vAlign w:val="center"/>
          </w:tcPr>
          <w:p w14:paraId="24BE95C7" w14:textId="77777777" w:rsidR="002E1FD6" w:rsidRDefault="002E1FD6" w:rsidP="003A4183">
            <w:r>
              <w:rPr>
                <w:color w:val="222222"/>
                <w:sz w:val="20"/>
                <w:szCs w:val="20"/>
              </w:rPr>
              <w:t>Registros actualizados a 2026-07-03</w:t>
            </w:r>
          </w:p>
        </w:tc>
        <w:tc>
          <w:tcPr>
            <w:tcW w:w="1276" w:type="dxa"/>
            <w:tcMar>
              <w:top w:w="80" w:type="dxa"/>
              <w:left w:w="100" w:type="dxa"/>
              <w:bottom w:w="80" w:type="dxa"/>
              <w:right w:w="100" w:type="dxa"/>
            </w:tcMar>
            <w:vAlign w:val="center"/>
          </w:tcPr>
          <w:p w14:paraId="3E84C471" w14:textId="77777777" w:rsidR="002E1FD6" w:rsidRDefault="002E1FD6" w:rsidP="003A4183">
            <w:pPr>
              <w:jc w:val="center"/>
            </w:pPr>
            <w:r>
              <w:rPr>
                <w:color w:val="222222"/>
                <w:sz w:val="20"/>
                <w:szCs w:val="20"/>
              </w:rPr>
              <w:t>28</w:t>
            </w:r>
          </w:p>
        </w:tc>
        <w:tc>
          <w:tcPr>
            <w:tcW w:w="1559" w:type="dxa"/>
            <w:tcMar>
              <w:top w:w="80" w:type="dxa"/>
              <w:left w:w="100" w:type="dxa"/>
              <w:bottom w:w="80" w:type="dxa"/>
              <w:right w:w="100" w:type="dxa"/>
            </w:tcMar>
            <w:vAlign w:val="center"/>
          </w:tcPr>
          <w:p w14:paraId="0670F207" w14:textId="77777777" w:rsidR="002E1FD6" w:rsidRDefault="002E1FD6" w:rsidP="003A4183">
            <w:pPr>
              <w:jc w:val="center"/>
            </w:pPr>
            <w:r>
              <w:rPr>
                <w:color w:val="222222"/>
                <w:sz w:val="20"/>
                <w:szCs w:val="20"/>
              </w:rPr>
              <w:t>17%</w:t>
            </w:r>
          </w:p>
        </w:tc>
      </w:tr>
    </w:tbl>
    <w:p w14:paraId="7B7975BD" w14:textId="77777777" w:rsidR="002E1FD6" w:rsidRPr="00334752" w:rsidRDefault="002E1FD6" w:rsidP="002E1FD6">
      <w:pPr>
        <w:keepNext/>
        <w:keepLines/>
        <w:ind w:left="708" w:firstLine="708"/>
        <w:jc w:val="both"/>
        <w:rPr>
          <w:rFonts w:ascii="Arial" w:eastAsia="Times New Roman" w:hAnsi="Arial" w:cs="Arial"/>
          <w:b/>
          <w:bCs/>
          <w:color w:val="2E75B6"/>
          <w:kern w:val="0"/>
          <w:sz w:val="24"/>
          <w:szCs w:val="24"/>
          <w:lang w:eastAsia="es-CO"/>
          <w14:ligatures w14:val="none"/>
        </w:rPr>
      </w:pPr>
      <w:r>
        <w:rPr>
          <w:i/>
          <w:iCs/>
          <w:color w:val="595959"/>
          <w:sz w:val="18"/>
          <w:szCs w:val="18"/>
        </w:rPr>
        <w:t>Tabla 2. Indicadores generales de cobertura y vigencia — Catálogo ANH</w:t>
      </w:r>
    </w:p>
    <w:p w14:paraId="7DA6DEA6" w14:textId="77777777" w:rsidR="002E1FD6" w:rsidRPr="0056593F" w:rsidRDefault="002E1FD6" w:rsidP="002E1FD6">
      <w:pPr>
        <w:keepNext/>
        <w:keepLines/>
        <w:jc w:val="both"/>
        <w:rPr>
          <w:rFonts w:ascii="Arial" w:eastAsia="Times New Roman" w:hAnsi="Arial" w:cs="Arial"/>
          <w:b/>
          <w:bCs/>
          <w:color w:val="2E75B6"/>
          <w:kern w:val="0"/>
          <w:sz w:val="24"/>
          <w:szCs w:val="24"/>
          <w:lang w:eastAsia="es-CO"/>
          <w14:ligatures w14:val="none"/>
        </w:rPr>
      </w:pPr>
      <w:r>
        <w:rPr>
          <w:rFonts w:ascii="Arial" w:eastAsia="Times New Roman" w:hAnsi="Arial" w:cs="Arial"/>
          <w:b/>
          <w:bCs/>
          <w:color w:val="2E75B6"/>
          <w:kern w:val="0"/>
          <w:sz w:val="24"/>
          <w:szCs w:val="24"/>
          <w:lang w:eastAsia="es-CO"/>
          <w14:ligatures w14:val="none"/>
        </w:rPr>
        <w:t>Hallazgos principales.</w:t>
      </w:r>
    </w:p>
    <w:p w14:paraId="05B8846A" w14:textId="77777777" w:rsidR="002E1FD6" w:rsidRDefault="002E1FD6" w:rsidP="002E1FD6">
      <w:pPr>
        <w:pStyle w:val="Prrafodelista"/>
        <w:numPr>
          <w:ilvl w:val="0"/>
          <w:numId w:val="19"/>
        </w:numPr>
        <w:spacing w:after="80" w:line="240" w:lineRule="auto"/>
        <w:ind w:left="426"/>
        <w:jc w:val="both"/>
        <w:rPr>
          <w:b/>
          <w:color w:val="3565A9"/>
          <w:sz w:val="26"/>
        </w:rPr>
      </w:pPr>
      <w:r>
        <w:rPr>
          <w:b/>
          <w:color w:val="3565A9"/>
          <w:sz w:val="26"/>
        </w:rPr>
        <w:t>Omisión de Identificación Física (Placas de Inventario Institucional)</w:t>
      </w:r>
    </w:p>
    <w:p w14:paraId="12BC7E99" w14:textId="77777777" w:rsidR="002E1FD6" w:rsidRDefault="002E1FD6" w:rsidP="002E1FD6">
      <w:pPr>
        <w:pStyle w:val="Prrafodelista"/>
        <w:spacing w:after="80" w:line="240" w:lineRule="auto"/>
        <w:ind w:left="426"/>
        <w:jc w:val="both"/>
      </w:pPr>
      <w:r>
        <w:t xml:space="preserve">En el campo de observaciones, 15 elementos activos de alto valor de cómputo y seguridad (servidores HP </w:t>
      </w:r>
      <w:proofErr w:type="spellStart"/>
      <w:r>
        <w:t>ProLiant</w:t>
      </w:r>
      <w:proofErr w:type="spellEnd"/>
      <w:r>
        <w:t xml:space="preserve"> DL380 Gen10 y Firewalls </w:t>
      </w:r>
      <w:proofErr w:type="spellStart"/>
      <w:r>
        <w:t>Fortigate</w:t>
      </w:r>
      <w:proofErr w:type="spellEnd"/>
      <w:r>
        <w:t xml:space="preserve"> 2000E) contienen la anotación explícita 'SIN INFORMACION # PLACA'. Esto señala una deficiencia en la conciliación técnico-contable entre la Oficina de TI y la Oficina de Control de Activos Fijos de la ANH.</w:t>
      </w:r>
    </w:p>
    <w:p w14:paraId="64516DE0" w14:textId="77777777" w:rsidR="002E1FD6" w:rsidRDefault="002E1FD6" w:rsidP="002E1FD6">
      <w:pPr>
        <w:pStyle w:val="Prrafodelista"/>
        <w:spacing w:after="80" w:line="240" w:lineRule="auto"/>
        <w:ind w:left="426"/>
        <w:jc w:val="both"/>
      </w:pPr>
    </w:p>
    <w:p w14:paraId="22F1105B" w14:textId="77777777" w:rsidR="002E1FD6" w:rsidRPr="00C85112" w:rsidRDefault="002E1FD6" w:rsidP="002E1FD6">
      <w:pPr>
        <w:pStyle w:val="Prrafodelista"/>
        <w:numPr>
          <w:ilvl w:val="0"/>
          <w:numId w:val="19"/>
        </w:numPr>
        <w:spacing w:after="80" w:line="240" w:lineRule="auto"/>
        <w:ind w:left="426"/>
        <w:jc w:val="both"/>
        <w:rPr>
          <w:b/>
          <w:color w:val="3565A9"/>
          <w:sz w:val="26"/>
        </w:rPr>
      </w:pPr>
      <w:r>
        <w:rPr>
          <w:b/>
          <w:color w:val="3565A9"/>
          <w:sz w:val="26"/>
        </w:rPr>
        <w:t>Incertidumbre en la Localización Física de Activos de Cómputo</w:t>
      </w:r>
    </w:p>
    <w:p w14:paraId="150D2EB4" w14:textId="77777777" w:rsidR="002E1FD6" w:rsidRDefault="002E1FD6" w:rsidP="002E1FD6">
      <w:pPr>
        <w:pStyle w:val="Prrafodelista"/>
        <w:spacing w:after="80" w:line="240" w:lineRule="auto"/>
        <w:ind w:left="426"/>
        <w:jc w:val="both"/>
      </w:pPr>
      <w:r>
        <w:lastRenderedPageBreak/>
        <w:t>Existen 5 elementos donde el campo de observaciones registra 'SE DESCONOCE UBICACIÓN'. Que un servidor o componente de red no posea una ubicación física o lógica confirmada representa una brecha de control físico e inventario inaceptable para una entidad nacional.</w:t>
      </w:r>
    </w:p>
    <w:p w14:paraId="35C57959" w14:textId="77777777" w:rsidR="002E1FD6" w:rsidRDefault="002E1FD6" w:rsidP="002E1FD6">
      <w:pPr>
        <w:pStyle w:val="Prrafodelista"/>
        <w:spacing w:after="80" w:line="240" w:lineRule="auto"/>
        <w:ind w:left="426"/>
        <w:jc w:val="both"/>
      </w:pPr>
    </w:p>
    <w:p w14:paraId="73CD0985" w14:textId="77777777" w:rsidR="002E1FD6" w:rsidRDefault="002E1FD6" w:rsidP="002E1FD6">
      <w:pPr>
        <w:pStyle w:val="Prrafodelista"/>
        <w:spacing w:after="80" w:line="240" w:lineRule="auto"/>
        <w:ind w:left="426"/>
        <w:jc w:val="both"/>
      </w:pPr>
    </w:p>
    <w:p w14:paraId="1BF32A61" w14:textId="77777777" w:rsidR="002E1FD6" w:rsidRDefault="002E1FD6" w:rsidP="002E1FD6">
      <w:pPr>
        <w:keepNext/>
        <w:keepLines/>
        <w:jc w:val="center"/>
        <w:rPr>
          <w:rFonts w:ascii="Arial" w:hAnsi="Arial" w:cs="Arial"/>
          <w:b/>
          <w:bCs/>
        </w:rPr>
      </w:pPr>
      <w:r>
        <w:rPr>
          <w:rFonts w:ascii="Arial" w:hAnsi="Arial" w:cs="Arial"/>
          <w:b/>
          <w:bCs/>
        </w:rPr>
        <w:t>3. CONSOLIDADO SECTORIAL Y DIAGRAMAS.</w:t>
      </w:r>
    </w:p>
    <w:p w14:paraId="5AAD96D7" w14:textId="77777777" w:rsidR="002E1FD6" w:rsidRDefault="002E1FD6" w:rsidP="002E1FD6">
      <w:pPr>
        <w:keepNext/>
        <w:keepLines/>
        <w:jc w:val="center"/>
        <w:rPr>
          <w:i/>
          <w:iCs/>
          <w:color w:val="595959"/>
          <w:sz w:val="18"/>
          <w:szCs w:val="18"/>
        </w:rPr>
      </w:pPr>
      <w:r>
        <w:rPr>
          <w:i/>
          <w:iCs/>
          <w:color w:val="595959"/>
          <w:sz w:val="18"/>
          <w:szCs w:val="18"/>
        </w:rPr>
        <w:t xml:space="preserve">Gráfico 1. </w:t>
      </w:r>
      <w:proofErr w:type="gramStart"/>
      <w:r>
        <w:rPr>
          <w:i/>
          <w:iCs/>
          <w:color w:val="595959"/>
          <w:sz w:val="18"/>
          <w:szCs w:val="18"/>
        </w:rPr>
        <w:t>Total</w:t>
      </w:r>
      <w:proofErr w:type="gramEnd"/>
      <w:r>
        <w:rPr>
          <w:i/>
          <w:iCs/>
          <w:color w:val="595959"/>
          <w:sz w:val="18"/>
          <w:szCs w:val="18"/>
        </w:rPr>
        <w:t xml:space="preserve"> de elementos del catálogo de infraestructura de TI por entidad (escala logarítmica).</w:t>
      </w:r>
    </w:p>
    <w:p w14:paraId="50809A82" w14:textId="77777777" w:rsidR="002E1FD6" w:rsidRDefault="002E1FD6" w:rsidP="002E1FD6">
      <w:pPr>
        <w:jc w:val="both"/>
        <w:rPr>
          <w:noProof/>
          <w14:ligatures w14:val="none"/>
        </w:rPr>
      </w:pPr>
      <w:r>
        <w:rPr>
          <w:noProof/>
          <w14:ligatures w14:val="none"/>
        </w:rPr>
        <w:drawing>
          <wp:anchor distT="0" distB="0" distL="114300" distR="114300" simplePos="0" relativeHeight="251665408" behindDoc="0" locked="0" layoutInCell="1" allowOverlap="1" wp14:anchorId="39306C60" wp14:editId="11BA6529">
            <wp:simplePos x="0" y="0"/>
            <wp:positionH relativeFrom="column">
              <wp:posOffset>1107530</wp:posOffset>
            </wp:positionH>
            <wp:positionV relativeFrom="paragraph">
              <wp:posOffset>1943735</wp:posOffset>
            </wp:positionV>
            <wp:extent cx="576943" cy="236022"/>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6943" cy="236022"/>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64384" behindDoc="0" locked="0" layoutInCell="1" allowOverlap="1" wp14:anchorId="36C797E8" wp14:editId="221B7A19">
            <wp:simplePos x="0" y="0"/>
            <wp:positionH relativeFrom="column">
              <wp:posOffset>1385116</wp:posOffset>
            </wp:positionH>
            <wp:positionV relativeFrom="paragraph">
              <wp:posOffset>1644015</wp:posOffset>
            </wp:positionV>
            <wp:extent cx="571500" cy="23648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1500" cy="236483"/>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63360" behindDoc="0" locked="0" layoutInCell="1" allowOverlap="1" wp14:anchorId="1327CA41" wp14:editId="7886E9CA">
            <wp:simplePos x="0" y="0"/>
            <wp:positionH relativeFrom="column">
              <wp:posOffset>2904036</wp:posOffset>
            </wp:positionH>
            <wp:positionV relativeFrom="paragraph">
              <wp:posOffset>1328874</wp:posOffset>
            </wp:positionV>
            <wp:extent cx="653143" cy="254382"/>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53143" cy="254382"/>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62336" behindDoc="0" locked="0" layoutInCell="1" allowOverlap="1" wp14:anchorId="6AC3E3D7" wp14:editId="780899E0">
            <wp:simplePos x="0" y="0"/>
            <wp:positionH relativeFrom="column">
              <wp:posOffset>1766117</wp:posOffset>
            </wp:positionH>
            <wp:positionV relativeFrom="paragraph">
              <wp:posOffset>992233</wp:posOffset>
            </wp:positionV>
            <wp:extent cx="729343" cy="271716"/>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9343" cy="271716"/>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61312" behindDoc="0" locked="0" layoutInCell="1" allowOverlap="1" wp14:anchorId="7D04205B" wp14:editId="225A382C">
            <wp:simplePos x="0" y="0"/>
            <wp:positionH relativeFrom="column">
              <wp:posOffset>2647678</wp:posOffset>
            </wp:positionH>
            <wp:positionV relativeFrom="paragraph">
              <wp:posOffset>720634</wp:posOffset>
            </wp:positionV>
            <wp:extent cx="636815" cy="297577"/>
            <wp:effectExtent l="0" t="0" r="0" b="762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36815" cy="297577"/>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60288" behindDoc="0" locked="0" layoutInCell="1" allowOverlap="1" wp14:anchorId="7A29C639" wp14:editId="2FA67B88">
            <wp:simplePos x="0" y="0"/>
            <wp:positionH relativeFrom="column">
              <wp:posOffset>3018065</wp:posOffset>
            </wp:positionH>
            <wp:positionV relativeFrom="paragraph">
              <wp:posOffset>413839</wp:posOffset>
            </wp:positionV>
            <wp:extent cx="652812" cy="262345"/>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52812" cy="26234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9264" behindDoc="0" locked="0" layoutInCell="1" allowOverlap="1" wp14:anchorId="20DDEFF1" wp14:editId="7D4ABABA">
            <wp:simplePos x="0" y="0"/>
            <wp:positionH relativeFrom="column">
              <wp:posOffset>4416788</wp:posOffset>
            </wp:positionH>
            <wp:positionV relativeFrom="paragraph">
              <wp:posOffset>136525</wp:posOffset>
            </wp:positionV>
            <wp:extent cx="833023" cy="254726"/>
            <wp:effectExtent l="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33023" cy="254726"/>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inline distT="0" distB="0" distL="0" distR="0" wp14:anchorId="36EA6B08" wp14:editId="5A18D651">
            <wp:extent cx="5574421" cy="2672443"/>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88110" cy="2679006"/>
                    </a:xfrm>
                    <a:prstGeom prst="rect">
                      <a:avLst/>
                    </a:prstGeom>
                  </pic:spPr>
                </pic:pic>
              </a:graphicData>
            </a:graphic>
          </wp:inline>
        </w:drawing>
      </w:r>
      <w:r>
        <w:rPr>
          <w:noProof/>
          <w14:ligatures w14:val="none"/>
        </w:rPr>
        <w:t xml:space="preserve"> </w:t>
      </w:r>
    </w:p>
    <w:p w14:paraId="70B45659" w14:textId="77777777" w:rsidR="002E1FD6" w:rsidRDefault="002E1FD6" w:rsidP="002E1FD6">
      <w:pPr>
        <w:jc w:val="both"/>
        <w:rPr>
          <w:rFonts w:ascii="Arial" w:hAnsi="Arial" w:cs="Arial"/>
        </w:rPr>
      </w:pPr>
      <w:r>
        <w:rPr>
          <w:rFonts w:ascii="Arial" w:hAnsi="Arial" w:cs="Arial"/>
        </w:rPr>
        <w:t>Uso escala logarítmica a propósito: el SGC concentra el 71% del inventario tecnológico sectorial (2.824 de 3.956 elementos).</w:t>
      </w:r>
    </w:p>
    <w:p w14:paraId="51618E77" w14:textId="77777777" w:rsidR="002E1FD6" w:rsidRDefault="002E1FD6" w:rsidP="002E1FD6">
      <w:pPr>
        <w:keepNext/>
        <w:keepLines/>
        <w:jc w:val="center"/>
        <w:rPr>
          <w:i/>
          <w:iCs/>
          <w:color w:val="595959"/>
          <w:sz w:val="18"/>
          <w:szCs w:val="18"/>
        </w:rPr>
      </w:pPr>
      <w:r>
        <w:rPr>
          <w:i/>
          <w:iCs/>
          <w:color w:val="595959"/>
          <w:sz w:val="18"/>
          <w:szCs w:val="18"/>
        </w:rPr>
        <w:t>Gráfico 2. Modelo de despliegue por entidad: instalado en sitio / comodato vs. nube (IaaS-PaaS).</w:t>
      </w:r>
    </w:p>
    <w:p w14:paraId="26A34812" w14:textId="77777777" w:rsidR="002E1FD6" w:rsidRDefault="002E1FD6" w:rsidP="002E1FD6">
      <w:pPr>
        <w:jc w:val="both"/>
        <w:rPr>
          <w:noProof/>
          <w14:ligatures w14:val="none"/>
        </w:rPr>
      </w:pPr>
      <w:r>
        <w:rPr>
          <w:rFonts w:ascii="Arial" w:hAnsi="Arial" w:cs="Arial"/>
          <w:noProof/>
        </w:rPr>
        <w:drawing>
          <wp:anchor distT="0" distB="0" distL="114300" distR="114300" simplePos="0" relativeHeight="251674624" behindDoc="0" locked="0" layoutInCell="1" allowOverlap="1" wp14:anchorId="05E2B50D" wp14:editId="65485C1B">
            <wp:simplePos x="0" y="0"/>
            <wp:positionH relativeFrom="column">
              <wp:posOffset>4285888</wp:posOffset>
            </wp:positionH>
            <wp:positionV relativeFrom="paragraph">
              <wp:posOffset>2076904</wp:posOffset>
            </wp:positionV>
            <wp:extent cx="1019810" cy="230505"/>
            <wp:effectExtent l="0" t="0" r="889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019810" cy="230505"/>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73600" behindDoc="0" locked="0" layoutInCell="1" allowOverlap="1" wp14:anchorId="24027457" wp14:editId="0D36031A">
            <wp:simplePos x="0" y="0"/>
            <wp:positionH relativeFrom="column">
              <wp:posOffset>1020445</wp:posOffset>
            </wp:positionH>
            <wp:positionV relativeFrom="paragraph">
              <wp:posOffset>2100943</wp:posOffset>
            </wp:positionV>
            <wp:extent cx="970280" cy="205740"/>
            <wp:effectExtent l="0" t="0" r="1270" b="381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970280" cy="205740"/>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71552" behindDoc="0" locked="0" layoutInCell="1" allowOverlap="1" wp14:anchorId="6C21B996" wp14:editId="64D991B9">
            <wp:simplePos x="0" y="0"/>
            <wp:positionH relativeFrom="margin">
              <wp:posOffset>1109980</wp:posOffset>
            </wp:positionH>
            <wp:positionV relativeFrom="paragraph">
              <wp:posOffset>1712232</wp:posOffset>
            </wp:positionV>
            <wp:extent cx="979170" cy="212725"/>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979170" cy="212725"/>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72576" behindDoc="0" locked="0" layoutInCell="1" allowOverlap="1" wp14:anchorId="09B84525" wp14:editId="7D41553C">
            <wp:simplePos x="0" y="0"/>
            <wp:positionH relativeFrom="margin">
              <wp:posOffset>3920218</wp:posOffset>
            </wp:positionH>
            <wp:positionV relativeFrom="paragraph">
              <wp:posOffset>1714500</wp:posOffset>
            </wp:positionV>
            <wp:extent cx="941070" cy="206375"/>
            <wp:effectExtent l="0" t="0" r="0" b="3175"/>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41070" cy="206375"/>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70528" behindDoc="0" locked="0" layoutInCell="1" allowOverlap="1" wp14:anchorId="4E6FD2DC" wp14:editId="32F929B3">
            <wp:simplePos x="0" y="0"/>
            <wp:positionH relativeFrom="margin">
              <wp:posOffset>4446542</wp:posOffset>
            </wp:positionH>
            <wp:positionV relativeFrom="paragraph">
              <wp:posOffset>1341755</wp:posOffset>
            </wp:positionV>
            <wp:extent cx="919480" cy="206375"/>
            <wp:effectExtent l="0" t="0" r="0" b="317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919480" cy="206375"/>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69504" behindDoc="0" locked="0" layoutInCell="1" allowOverlap="1" wp14:anchorId="1BC18176" wp14:editId="69903FA4">
            <wp:simplePos x="0" y="0"/>
            <wp:positionH relativeFrom="column">
              <wp:posOffset>1363073</wp:posOffset>
            </wp:positionH>
            <wp:positionV relativeFrom="paragraph">
              <wp:posOffset>1321435</wp:posOffset>
            </wp:positionV>
            <wp:extent cx="1150620" cy="243840"/>
            <wp:effectExtent l="0" t="0" r="0" b="381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150620" cy="2438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66432" behindDoc="0" locked="0" layoutInCell="1" allowOverlap="1" wp14:anchorId="5DE6641F" wp14:editId="6A9BE887">
            <wp:simplePos x="0" y="0"/>
            <wp:positionH relativeFrom="column">
              <wp:posOffset>4204335</wp:posOffset>
            </wp:positionH>
            <wp:positionV relativeFrom="paragraph">
              <wp:posOffset>588010</wp:posOffset>
            </wp:positionV>
            <wp:extent cx="1188720" cy="25146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188720" cy="25146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67456" behindDoc="0" locked="0" layoutInCell="1" allowOverlap="1" wp14:anchorId="7A347920" wp14:editId="4A17CB04">
            <wp:simplePos x="0" y="0"/>
            <wp:positionH relativeFrom="margin">
              <wp:posOffset>2144395</wp:posOffset>
            </wp:positionH>
            <wp:positionV relativeFrom="paragraph">
              <wp:posOffset>980440</wp:posOffset>
            </wp:positionV>
            <wp:extent cx="944880" cy="205740"/>
            <wp:effectExtent l="0" t="0" r="7620" b="381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944880" cy="20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68480" behindDoc="0" locked="0" layoutInCell="1" allowOverlap="1" wp14:anchorId="0DD4452D" wp14:editId="236E9854">
            <wp:simplePos x="0" y="0"/>
            <wp:positionH relativeFrom="margin">
              <wp:posOffset>4220845</wp:posOffset>
            </wp:positionH>
            <wp:positionV relativeFrom="paragraph">
              <wp:posOffset>970280</wp:posOffset>
            </wp:positionV>
            <wp:extent cx="993140" cy="246380"/>
            <wp:effectExtent l="0" t="0" r="0" b="127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993140" cy="246380"/>
                    </a:xfrm>
                    <a:prstGeom prst="rect">
                      <a:avLst/>
                    </a:prstGeom>
                  </pic:spPr>
                </pic:pic>
              </a:graphicData>
            </a:graphic>
            <wp14:sizeRelH relativeFrom="page">
              <wp14:pctWidth>0</wp14:pctWidth>
            </wp14:sizeRelH>
            <wp14:sizeRelV relativeFrom="page">
              <wp14:pctHeight>0</wp14:pctHeight>
            </wp14:sizeRelV>
          </wp:anchor>
        </w:drawing>
      </w:r>
      <w:r>
        <w:rPr>
          <w:noProof/>
          <w14:ligatures w14:val="none"/>
        </w:rPr>
        <w:t xml:space="preserve"> </w:t>
      </w:r>
      <w:r>
        <w:rPr>
          <w:rFonts w:ascii="Arial" w:hAnsi="Arial" w:cs="Arial"/>
          <w:noProof/>
        </w:rPr>
        <w:drawing>
          <wp:inline distT="0" distB="0" distL="0" distR="0" wp14:anchorId="64D6A535" wp14:editId="198CC22A">
            <wp:extent cx="5611585" cy="2415864"/>
            <wp:effectExtent l="0" t="0" r="8255" b="381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19795" cy="2419398"/>
                    </a:xfrm>
                    <a:prstGeom prst="rect">
                      <a:avLst/>
                    </a:prstGeom>
                  </pic:spPr>
                </pic:pic>
              </a:graphicData>
            </a:graphic>
          </wp:inline>
        </w:drawing>
      </w:r>
      <w:r>
        <w:rPr>
          <w:noProof/>
          <w14:ligatures w14:val="none"/>
        </w:rPr>
        <w:t xml:space="preserve"> </w:t>
      </w:r>
    </w:p>
    <w:p w14:paraId="61109009" w14:textId="77777777" w:rsidR="002E1FD6" w:rsidRDefault="002E1FD6" w:rsidP="002E1FD6">
      <w:pPr>
        <w:jc w:val="both"/>
        <w:rPr>
          <w:rFonts w:ascii="Arial" w:hAnsi="Arial" w:cs="Arial"/>
        </w:rPr>
      </w:pPr>
      <w:r>
        <w:rPr>
          <w:rFonts w:ascii="Arial" w:hAnsi="Arial" w:cs="Arial"/>
        </w:rPr>
        <w:lastRenderedPageBreak/>
        <w:t>IPSE y FENOGE quedan fuera de esta última gráfica, toda vez, ninguna de las dos en el análisis realizado no se evidenció que reportaron un desglose confiable de sitio-vs-nube, sobre el Catálogo de Elementos de Infraestructura de TI.</w:t>
      </w:r>
    </w:p>
    <w:p w14:paraId="53729DA2" w14:textId="77777777" w:rsidR="002E1FD6" w:rsidRDefault="002E1FD6" w:rsidP="002E1FD6">
      <w:pPr>
        <w:jc w:val="both"/>
        <w:rPr>
          <w:rFonts w:ascii="Arial" w:hAnsi="Arial" w:cs="Arial"/>
        </w:rPr>
      </w:pPr>
    </w:p>
    <w:p w14:paraId="6F162D0F" w14:textId="77777777" w:rsidR="002E1FD6" w:rsidRDefault="002E1FD6" w:rsidP="002E1FD6">
      <w:pPr>
        <w:keepNext/>
        <w:keepLines/>
        <w:jc w:val="both"/>
        <w:rPr>
          <w:rFonts w:ascii="Arial" w:hAnsi="Arial" w:cs="Arial"/>
          <w:b/>
          <w:bCs/>
        </w:rPr>
      </w:pPr>
      <w:r>
        <w:rPr>
          <w:rFonts w:ascii="Arial" w:hAnsi="Arial" w:cs="Arial"/>
          <w:b/>
          <w:bCs/>
        </w:rPr>
        <w:t>4. CONCLUSIONES.</w:t>
      </w:r>
    </w:p>
    <w:p w14:paraId="40CB9727" w14:textId="77777777" w:rsidR="002E1FD6" w:rsidRDefault="002E1FD6" w:rsidP="002E1FD6">
      <w:pPr>
        <w:jc w:val="both"/>
        <w:rPr>
          <w:rFonts w:ascii="Arial" w:hAnsi="Arial" w:cs="Arial"/>
        </w:rPr>
      </w:pPr>
      <w:r>
        <w:rPr>
          <w:rFonts w:ascii="Arial" w:hAnsi="Arial" w:cs="Arial"/>
        </w:rPr>
        <w:t>Las 7 entidades adscritas y vinculadas al Sector Minas y Energía (UPME, CREG, SGC, IPSE, FENOGE, ANM y ANH) entregaron su catálogo de elementos de infraestructura de TI para este primer semestre de 2026, con un total sectorial de 3.956 elementos registrados. La dispersión de tamaño es amplia –desde los 19 elementos de FENOGE hasta los 2.824 del SGC–, lo que confirma niveles muy distintos de madurez y de detalle en el levantamiento del inventario tecnológico entre entidades de tamaño comparable dentro del mismo sector.</w:t>
      </w:r>
    </w:p>
    <w:p w14:paraId="5D729300" w14:textId="77777777" w:rsidR="002E1FD6" w:rsidRDefault="002E1FD6" w:rsidP="002E1FD6">
      <w:pPr>
        <w:jc w:val="both"/>
        <w:rPr>
          <w:rFonts w:ascii="Arial" w:hAnsi="Arial" w:cs="Arial"/>
        </w:rPr>
      </w:pPr>
      <w:r>
        <w:rPr>
          <w:rFonts w:ascii="Arial" w:hAnsi="Arial" w:cs="Arial"/>
        </w:rPr>
        <w:t xml:space="preserve">El riesgo transversal más recurrente es la obsolescencia tecnológica ya vigente o inminente: Windows 7 y Windows 10 sin soporte estándar en el SGC, escritorios virtuales sobre Windows 10 en la UPME, servidores virtuales críticos sobre Debian 6, Windows Server 2008 y 2012 en IPSE, switches Juniper </w:t>
      </w:r>
      <w:proofErr w:type="spellStart"/>
      <w:r>
        <w:rPr>
          <w:rFonts w:ascii="Arial" w:hAnsi="Arial" w:cs="Arial"/>
        </w:rPr>
        <w:t>EoL</w:t>
      </w:r>
      <w:proofErr w:type="spellEnd"/>
      <w:r>
        <w:rPr>
          <w:rFonts w:ascii="Arial" w:hAnsi="Arial" w:cs="Arial"/>
        </w:rPr>
        <w:t>/</w:t>
      </w:r>
      <w:proofErr w:type="spellStart"/>
      <w:r>
        <w:rPr>
          <w:rFonts w:ascii="Arial" w:hAnsi="Arial" w:cs="Arial"/>
        </w:rPr>
        <w:t>EoS</w:t>
      </w:r>
      <w:proofErr w:type="spellEnd"/>
      <w:r>
        <w:rPr>
          <w:rFonts w:ascii="Arial" w:hAnsi="Arial" w:cs="Arial"/>
        </w:rPr>
        <w:t xml:space="preserve"> en FENOGE, y sistemas operativos legados (Windows Server 2008 R2, Red </w:t>
      </w:r>
      <w:proofErr w:type="spellStart"/>
      <w:r>
        <w:rPr>
          <w:rFonts w:ascii="Arial" w:hAnsi="Arial" w:cs="Arial"/>
        </w:rPr>
        <w:t>Hat</w:t>
      </w:r>
      <w:proofErr w:type="spellEnd"/>
      <w:r>
        <w:rPr>
          <w:rFonts w:ascii="Arial" w:hAnsi="Arial" w:cs="Arial"/>
        </w:rPr>
        <w:t xml:space="preserve"> 4/5/6, CentOS 4/5/6, Debian 7/9) en la ANM. Se recomienda consolidar estos hallazgos en un plan sectorial único de renovación y actualización, priorizado por criticidad del servicio que soporta cada elemento.</w:t>
      </w:r>
    </w:p>
    <w:p w14:paraId="0F7E4D0E" w14:textId="77777777" w:rsidR="002E1FD6" w:rsidRDefault="002E1FD6" w:rsidP="002E1FD6">
      <w:pPr>
        <w:jc w:val="both"/>
        <w:rPr>
          <w:rFonts w:ascii="Arial" w:hAnsi="Arial" w:cs="Arial"/>
        </w:rPr>
      </w:pPr>
      <w:r>
        <w:rPr>
          <w:rFonts w:ascii="Arial" w:hAnsi="Arial" w:cs="Arial"/>
        </w:rPr>
        <w:t xml:space="preserve">Un segundo riesgo compartido es la trazabilidad débil de dependencias y campos incompletos: en la UPME el 74,7% de los registros no indica con qué otros elementos o sistemas de información se relaciona; en la ANM buena parte de los servidores virtuales no reporta capacidad de disco y hay switches y </w:t>
      </w:r>
      <w:proofErr w:type="spellStart"/>
      <w:r>
        <w:rPr>
          <w:rFonts w:ascii="Arial" w:hAnsi="Arial" w:cs="Arial"/>
        </w:rPr>
        <w:t>access</w:t>
      </w:r>
      <w:proofErr w:type="spellEnd"/>
      <w:r>
        <w:rPr>
          <w:rFonts w:ascii="Arial" w:hAnsi="Arial" w:cs="Arial"/>
        </w:rPr>
        <w:t xml:space="preserve"> </w:t>
      </w:r>
      <w:proofErr w:type="spellStart"/>
      <w:r>
        <w:rPr>
          <w:rFonts w:ascii="Arial" w:hAnsi="Arial" w:cs="Arial"/>
        </w:rPr>
        <w:t>points</w:t>
      </w:r>
      <w:proofErr w:type="spellEnd"/>
      <w:r>
        <w:rPr>
          <w:rFonts w:ascii="Arial" w:hAnsi="Arial" w:cs="Arial"/>
        </w:rPr>
        <w:t xml:space="preserve"> sin placa de inventario; y en la ANH 15 elementos activos de alto valor carecen de placa y 5 no tienen ubicación física confirmada. Se recomienda establecer como obligatorios los campos de relación, sistema impactado y placa de inventario, con una auditoría periódica de completitud del catálogo.</w:t>
      </w:r>
    </w:p>
    <w:p w14:paraId="7B5ED4B2" w14:textId="77777777" w:rsidR="002E1FD6" w:rsidRDefault="002E1FD6" w:rsidP="002E1FD6">
      <w:pPr>
        <w:jc w:val="both"/>
        <w:rPr>
          <w:rFonts w:ascii="Arial" w:hAnsi="Arial" w:cs="Arial"/>
        </w:rPr>
      </w:pPr>
      <w:r>
        <w:rPr>
          <w:rFonts w:ascii="Arial" w:hAnsi="Arial" w:cs="Arial"/>
        </w:rPr>
        <w:t xml:space="preserve">También se identifican fallas de gobierno del dato en la unicidad de identificadores: en IPSE 7 identificadores agrupan de forma incorrecta 9 filas adicionales, y en FENOGE varios </w:t>
      </w:r>
      <w:proofErr w:type="spellStart"/>
      <w:r>
        <w:rPr>
          <w:rFonts w:ascii="Arial" w:hAnsi="Arial" w:cs="Arial"/>
        </w:rPr>
        <w:t>IDs</w:t>
      </w:r>
      <w:proofErr w:type="spellEnd"/>
      <w:r>
        <w:rPr>
          <w:rFonts w:ascii="Arial" w:hAnsi="Arial" w:cs="Arial"/>
        </w:rPr>
        <w:t xml:space="preserve"> fueron asignados simultáneamente a dispositivos físicos distintos. Esto impide un cruce confiable con las mesas de ayuda y sistemas de gestión de activos de cada entidad, por lo que se recomienda incorporar validación de unicidad de ID en el momento de cargue del catálogo.</w:t>
      </w:r>
    </w:p>
    <w:p w14:paraId="00129CDD" w14:textId="77777777" w:rsidR="002E1FD6" w:rsidRDefault="002E1FD6" w:rsidP="002E1FD6">
      <w:pPr>
        <w:jc w:val="both"/>
        <w:rPr>
          <w:rFonts w:ascii="Arial" w:hAnsi="Arial" w:cs="Arial"/>
        </w:rPr>
      </w:pPr>
      <w:r>
        <w:rPr>
          <w:rFonts w:ascii="Arial" w:hAnsi="Arial" w:cs="Arial"/>
        </w:rPr>
        <w:t>Finalmente, el campo de modelo de despliegue (tipo de servicio) se usa de forma muy desigual: en la UPME y el SGC prácticamente el 100% de los registros aparece como “instalado en sitio” sin distinguir nube o servicios contratados, mientras que CREG y ANM sí reportan una combinación real de sitio, comodato y nube (IaaS/PaaS). IPSE y FENOGE, por su parte, no permitieron construir un desglose confiable de sitio-vs-nube. Se recomienda unificar la taxonomía de este campo a nivel sectorial para que el consolidado de despliegue sea comparable entre entidades en los próximos ciclos, y que estos hallazgos alimenten la matriz de riesgos del PETI Sectorial 2025-2030.</w:t>
      </w:r>
    </w:p>
    <w:p w14:paraId="651888D9" w14:textId="77777777" w:rsidR="002E1FD6" w:rsidRDefault="002E1FD6" w:rsidP="002E1FD6">
      <w:pPr>
        <w:jc w:val="both"/>
        <w:rPr>
          <w:rFonts w:ascii="Arial" w:hAnsi="Arial" w:cs="Arial"/>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041"/>
        <w:gridCol w:w="2041"/>
        <w:gridCol w:w="2041"/>
        <w:gridCol w:w="2041"/>
      </w:tblGrid>
      <w:tr w:rsidR="002E1FD6" w:rsidRPr="005A6076" w14:paraId="0D594483" w14:textId="77777777" w:rsidTr="003A4183">
        <w:tc>
          <w:tcPr>
            <w:tcW w:w="1516" w:type="dxa"/>
            <w:tcBorders>
              <w:top w:val="single" w:sz="4" w:space="0" w:color="auto"/>
              <w:left w:val="single" w:sz="4" w:space="0" w:color="auto"/>
              <w:bottom w:val="single" w:sz="4" w:space="0" w:color="auto"/>
              <w:right w:val="single" w:sz="4" w:space="0" w:color="auto"/>
            </w:tcBorders>
            <w:vAlign w:val="center"/>
          </w:tcPr>
          <w:p w14:paraId="7946E05F" w14:textId="77777777" w:rsidR="002E1FD6" w:rsidRPr="005A6076" w:rsidRDefault="002E1FD6" w:rsidP="003A4183">
            <w:pPr>
              <w:pStyle w:val="Prrafodelista"/>
              <w:ind w:left="0" w:right="-1"/>
              <w:jc w:val="center"/>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hideMark/>
          </w:tcPr>
          <w:p w14:paraId="2F1A8770" w14:textId="77777777" w:rsidR="002E1FD6" w:rsidRPr="005A6076" w:rsidRDefault="002E1FD6" w:rsidP="003A4183">
            <w:pPr>
              <w:ind w:right="-1"/>
              <w:jc w:val="center"/>
              <w:rPr>
                <w:rFonts w:ascii="Arial" w:hAnsi="Arial" w:cs="Arial"/>
                <w:b/>
                <w:bCs/>
                <w:sz w:val="16"/>
                <w:szCs w:val="16"/>
              </w:rPr>
            </w:pPr>
            <w:r>
              <w:rPr>
                <w:rFonts w:ascii="Arial" w:hAnsi="Arial" w:cs="Arial"/>
                <w:b/>
                <w:bCs/>
                <w:sz w:val="16"/>
                <w:szCs w:val="16"/>
              </w:rPr>
              <w:t>ELABORÓ</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CA8EF5" w14:textId="77777777" w:rsidR="002E1FD6" w:rsidRPr="005A6076" w:rsidRDefault="002E1FD6" w:rsidP="003A4183">
            <w:pPr>
              <w:ind w:right="-1"/>
              <w:jc w:val="center"/>
              <w:rPr>
                <w:rFonts w:ascii="Arial" w:hAnsi="Arial" w:cs="Arial"/>
                <w:b/>
                <w:bCs/>
                <w:sz w:val="16"/>
                <w:szCs w:val="16"/>
              </w:rPr>
            </w:pPr>
            <w:r>
              <w:rPr>
                <w:rFonts w:ascii="Arial" w:hAnsi="Arial" w:cs="Arial"/>
                <w:b/>
                <w:bCs/>
                <w:sz w:val="16"/>
                <w:szCs w:val="16"/>
              </w:rPr>
              <w:t>REVISIÓN METODOLÓGICA</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0DB1A7B" w14:textId="77777777" w:rsidR="002E1FD6" w:rsidRPr="005A6076" w:rsidRDefault="002E1FD6" w:rsidP="003A4183">
            <w:pPr>
              <w:ind w:right="-1"/>
              <w:jc w:val="center"/>
              <w:rPr>
                <w:rFonts w:ascii="Arial" w:hAnsi="Arial" w:cs="Arial"/>
                <w:b/>
                <w:bCs/>
                <w:sz w:val="16"/>
                <w:szCs w:val="16"/>
              </w:rPr>
            </w:pPr>
            <w:r>
              <w:rPr>
                <w:rFonts w:ascii="Arial" w:hAnsi="Arial" w:cs="Arial"/>
                <w:b/>
                <w:bCs/>
                <w:sz w:val="16"/>
                <w:szCs w:val="16"/>
              </w:rPr>
              <w:t>APROBÓ LIDER DEL PROCESO O JEFE O COORDINADOR</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093B37C" w14:textId="77777777" w:rsidR="002E1FD6" w:rsidRPr="005A6076" w:rsidRDefault="002E1FD6" w:rsidP="003A4183">
            <w:pPr>
              <w:ind w:right="-1"/>
              <w:jc w:val="center"/>
              <w:rPr>
                <w:rFonts w:ascii="Arial" w:hAnsi="Arial" w:cs="Arial"/>
                <w:b/>
                <w:bCs/>
                <w:sz w:val="16"/>
                <w:szCs w:val="16"/>
              </w:rPr>
            </w:pPr>
            <w:r>
              <w:rPr>
                <w:rFonts w:ascii="Arial" w:hAnsi="Arial" w:cs="Arial"/>
                <w:b/>
                <w:bCs/>
                <w:sz w:val="16"/>
                <w:szCs w:val="16"/>
              </w:rPr>
              <w:t>AUTORIZA PUBLICACIÓN - SIG</w:t>
            </w:r>
          </w:p>
        </w:tc>
      </w:tr>
      <w:tr w:rsidR="002E1FD6" w:rsidRPr="005A6076" w14:paraId="75DC55A0" w14:textId="77777777" w:rsidTr="003A4183">
        <w:tc>
          <w:tcPr>
            <w:tcW w:w="1516" w:type="dxa"/>
            <w:tcBorders>
              <w:top w:val="single" w:sz="4" w:space="0" w:color="auto"/>
              <w:left w:val="single" w:sz="4" w:space="0" w:color="auto"/>
              <w:bottom w:val="single" w:sz="4" w:space="0" w:color="auto"/>
              <w:right w:val="single" w:sz="4" w:space="0" w:color="auto"/>
            </w:tcBorders>
            <w:hideMark/>
          </w:tcPr>
          <w:p w14:paraId="34A60C5D"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Nombre:</w:t>
            </w:r>
          </w:p>
        </w:tc>
        <w:tc>
          <w:tcPr>
            <w:tcW w:w="2041" w:type="dxa"/>
            <w:tcBorders>
              <w:top w:val="single" w:sz="4" w:space="0" w:color="auto"/>
              <w:left w:val="single" w:sz="4" w:space="0" w:color="auto"/>
              <w:bottom w:val="single" w:sz="4" w:space="0" w:color="auto"/>
              <w:right w:val="single" w:sz="4" w:space="0" w:color="auto"/>
            </w:tcBorders>
            <w:vAlign w:val="center"/>
          </w:tcPr>
          <w:p w14:paraId="61351D28" w14:textId="77777777" w:rsidR="002E1FD6" w:rsidRPr="005A6076" w:rsidRDefault="002E1FD6" w:rsidP="003A4183">
            <w:pPr>
              <w:pStyle w:val="Prrafodelista"/>
              <w:ind w:left="0" w:right="-1"/>
              <w:jc w:val="center"/>
              <w:rPr>
                <w:rFonts w:ascii="Arial" w:hAnsi="Arial" w:cs="Arial"/>
                <w:sz w:val="16"/>
                <w:szCs w:val="16"/>
              </w:rPr>
            </w:pPr>
            <w:r>
              <w:rPr>
                <w:rFonts w:ascii="Arial" w:hAnsi="Arial" w:cs="Arial"/>
                <w:sz w:val="16"/>
                <w:szCs w:val="16"/>
              </w:rPr>
              <w:t>Fernando Enrique Mejía Peña</w:t>
            </w:r>
          </w:p>
        </w:tc>
        <w:tc>
          <w:tcPr>
            <w:tcW w:w="2041" w:type="dxa"/>
            <w:tcBorders>
              <w:top w:val="single" w:sz="4" w:space="0" w:color="auto"/>
              <w:left w:val="single" w:sz="4" w:space="0" w:color="auto"/>
              <w:bottom w:val="single" w:sz="4" w:space="0" w:color="auto"/>
              <w:right w:val="single" w:sz="4" w:space="0" w:color="auto"/>
            </w:tcBorders>
            <w:vAlign w:val="center"/>
          </w:tcPr>
          <w:p w14:paraId="4DAC6B69"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6AA179DA"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4FCC90D0" w14:textId="77777777" w:rsidR="002E1FD6" w:rsidRPr="005A6076" w:rsidRDefault="002E1FD6" w:rsidP="003A4183">
            <w:pPr>
              <w:pStyle w:val="Prrafodelista"/>
              <w:ind w:left="0" w:right="-1"/>
              <w:rPr>
                <w:rFonts w:ascii="Arial" w:hAnsi="Arial" w:cs="Arial"/>
                <w:sz w:val="16"/>
                <w:szCs w:val="16"/>
              </w:rPr>
            </w:pPr>
          </w:p>
        </w:tc>
      </w:tr>
      <w:tr w:rsidR="002E1FD6" w:rsidRPr="005A6076" w14:paraId="1E1D2724" w14:textId="77777777" w:rsidTr="003A4183">
        <w:tc>
          <w:tcPr>
            <w:tcW w:w="1516" w:type="dxa"/>
            <w:tcBorders>
              <w:top w:val="single" w:sz="4" w:space="0" w:color="auto"/>
              <w:left w:val="single" w:sz="4" w:space="0" w:color="auto"/>
              <w:bottom w:val="single" w:sz="4" w:space="0" w:color="auto"/>
              <w:right w:val="single" w:sz="4" w:space="0" w:color="auto"/>
            </w:tcBorders>
            <w:hideMark/>
          </w:tcPr>
          <w:p w14:paraId="20CDC1B4"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Cargo:</w:t>
            </w:r>
          </w:p>
        </w:tc>
        <w:tc>
          <w:tcPr>
            <w:tcW w:w="2041" w:type="dxa"/>
            <w:tcBorders>
              <w:top w:val="single" w:sz="4" w:space="0" w:color="auto"/>
              <w:left w:val="single" w:sz="4" w:space="0" w:color="auto"/>
              <w:bottom w:val="single" w:sz="4" w:space="0" w:color="auto"/>
              <w:right w:val="single" w:sz="4" w:space="0" w:color="auto"/>
            </w:tcBorders>
            <w:vAlign w:val="center"/>
          </w:tcPr>
          <w:p w14:paraId="108CE37F"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Contratista</w:t>
            </w:r>
          </w:p>
        </w:tc>
        <w:tc>
          <w:tcPr>
            <w:tcW w:w="2041" w:type="dxa"/>
            <w:tcBorders>
              <w:top w:val="single" w:sz="4" w:space="0" w:color="auto"/>
              <w:left w:val="single" w:sz="4" w:space="0" w:color="auto"/>
              <w:bottom w:val="single" w:sz="4" w:space="0" w:color="auto"/>
              <w:right w:val="single" w:sz="4" w:space="0" w:color="auto"/>
            </w:tcBorders>
            <w:vAlign w:val="center"/>
          </w:tcPr>
          <w:p w14:paraId="08002F18"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0A1B68CA"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588FC248" w14:textId="77777777" w:rsidR="002E1FD6" w:rsidRPr="005A6076" w:rsidRDefault="002E1FD6" w:rsidP="003A4183">
            <w:pPr>
              <w:pStyle w:val="Prrafodelista"/>
              <w:ind w:left="0" w:right="-1"/>
              <w:rPr>
                <w:rFonts w:ascii="Arial" w:hAnsi="Arial" w:cs="Arial"/>
                <w:sz w:val="16"/>
                <w:szCs w:val="16"/>
              </w:rPr>
            </w:pPr>
          </w:p>
        </w:tc>
      </w:tr>
      <w:tr w:rsidR="002E1FD6" w:rsidRPr="005A6076" w14:paraId="366B98DD" w14:textId="77777777" w:rsidTr="003A4183">
        <w:tc>
          <w:tcPr>
            <w:tcW w:w="1516" w:type="dxa"/>
            <w:tcBorders>
              <w:top w:val="single" w:sz="4" w:space="0" w:color="auto"/>
              <w:left w:val="single" w:sz="4" w:space="0" w:color="auto"/>
              <w:bottom w:val="single" w:sz="4" w:space="0" w:color="auto"/>
              <w:right w:val="single" w:sz="4" w:space="0" w:color="auto"/>
            </w:tcBorders>
            <w:hideMark/>
          </w:tcPr>
          <w:p w14:paraId="5F734187"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Dependencia:</w:t>
            </w:r>
          </w:p>
        </w:tc>
        <w:tc>
          <w:tcPr>
            <w:tcW w:w="2041" w:type="dxa"/>
            <w:tcBorders>
              <w:top w:val="single" w:sz="4" w:space="0" w:color="auto"/>
              <w:left w:val="single" w:sz="4" w:space="0" w:color="auto"/>
              <w:bottom w:val="single" w:sz="4" w:space="0" w:color="auto"/>
              <w:right w:val="single" w:sz="4" w:space="0" w:color="auto"/>
            </w:tcBorders>
            <w:vAlign w:val="center"/>
          </w:tcPr>
          <w:p w14:paraId="63A5D3BF"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Grupo Tics</w:t>
            </w:r>
          </w:p>
        </w:tc>
        <w:tc>
          <w:tcPr>
            <w:tcW w:w="2041" w:type="dxa"/>
            <w:tcBorders>
              <w:top w:val="single" w:sz="4" w:space="0" w:color="auto"/>
              <w:left w:val="single" w:sz="4" w:space="0" w:color="auto"/>
              <w:bottom w:val="single" w:sz="4" w:space="0" w:color="auto"/>
              <w:right w:val="single" w:sz="4" w:space="0" w:color="auto"/>
            </w:tcBorders>
            <w:vAlign w:val="center"/>
          </w:tcPr>
          <w:p w14:paraId="6BB94251"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3D3207E6"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4365E0BD" w14:textId="77777777" w:rsidR="002E1FD6" w:rsidRPr="005A6076" w:rsidRDefault="002E1FD6" w:rsidP="003A4183">
            <w:pPr>
              <w:pStyle w:val="Prrafodelista"/>
              <w:ind w:left="0" w:right="-1"/>
              <w:rPr>
                <w:rFonts w:ascii="Arial" w:hAnsi="Arial" w:cs="Arial"/>
                <w:sz w:val="16"/>
                <w:szCs w:val="16"/>
              </w:rPr>
            </w:pPr>
          </w:p>
        </w:tc>
      </w:tr>
      <w:tr w:rsidR="002E1FD6" w:rsidRPr="005A6076" w14:paraId="315B9A3B" w14:textId="77777777" w:rsidTr="003A4183">
        <w:tc>
          <w:tcPr>
            <w:tcW w:w="1516" w:type="dxa"/>
            <w:tcBorders>
              <w:top w:val="single" w:sz="4" w:space="0" w:color="auto"/>
              <w:left w:val="single" w:sz="4" w:space="0" w:color="auto"/>
              <w:bottom w:val="single" w:sz="4" w:space="0" w:color="auto"/>
              <w:right w:val="single" w:sz="4" w:space="0" w:color="auto"/>
            </w:tcBorders>
            <w:hideMark/>
          </w:tcPr>
          <w:p w14:paraId="58D426D5"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Grupo:</w:t>
            </w:r>
          </w:p>
        </w:tc>
        <w:tc>
          <w:tcPr>
            <w:tcW w:w="2041" w:type="dxa"/>
            <w:tcBorders>
              <w:top w:val="single" w:sz="4" w:space="0" w:color="auto"/>
              <w:left w:val="single" w:sz="4" w:space="0" w:color="auto"/>
              <w:bottom w:val="single" w:sz="4" w:space="0" w:color="auto"/>
              <w:right w:val="single" w:sz="4" w:space="0" w:color="auto"/>
            </w:tcBorders>
            <w:vAlign w:val="center"/>
          </w:tcPr>
          <w:p w14:paraId="5DE29D55"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Infraestructura</w:t>
            </w:r>
          </w:p>
        </w:tc>
        <w:tc>
          <w:tcPr>
            <w:tcW w:w="2041" w:type="dxa"/>
            <w:tcBorders>
              <w:top w:val="single" w:sz="4" w:space="0" w:color="auto"/>
              <w:left w:val="single" w:sz="4" w:space="0" w:color="auto"/>
              <w:bottom w:val="single" w:sz="4" w:space="0" w:color="auto"/>
              <w:right w:val="single" w:sz="4" w:space="0" w:color="auto"/>
            </w:tcBorders>
            <w:vAlign w:val="center"/>
          </w:tcPr>
          <w:p w14:paraId="59BAAB8E"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69545314"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63042711" w14:textId="77777777" w:rsidR="002E1FD6" w:rsidRPr="005A6076" w:rsidRDefault="002E1FD6" w:rsidP="003A4183">
            <w:pPr>
              <w:pStyle w:val="Prrafodelista"/>
              <w:ind w:left="0" w:right="-1"/>
              <w:rPr>
                <w:rFonts w:ascii="Arial" w:hAnsi="Arial" w:cs="Arial"/>
                <w:sz w:val="16"/>
                <w:szCs w:val="16"/>
              </w:rPr>
            </w:pPr>
          </w:p>
        </w:tc>
      </w:tr>
      <w:tr w:rsidR="002E1FD6" w:rsidRPr="005A6076" w14:paraId="7BEA2EAC" w14:textId="77777777" w:rsidTr="003A4183">
        <w:tc>
          <w:tcPr>
            <w:tcW w:w="1516" w:type="dxa"/>
            <w:tcBorders>
              <w:top w:val="single" w:sz="4" w:space="0" w:color="auto"/>
              <w:left w:val="single" w:sz="4" w:space="0" w:color="auto"/>
              <w:bottom w:val="single" w:sz="4" w:space="0" w:color="auto"/>
              <w:right w:val="single" w:sz="4" w:space="0" w:color="auto"/>
            </w:tcBorders>
            <w:hideMark/>
          </w:tcPr>
          <w:p w14:paraId="2238A838"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Fecha:</w:t>
            </w:r>
          </w:p>
        </w:tc>
        <w:tc>
          <w:tcPr>
            <w:tcW w:w="2041" w:type="dxa"/>
            <w:tcBorders>
              <w:top w:val="single" w:sz="4" w:space="0" w:color="auto"/>
              <w:left w:val="single" w:sz="4" w:space="0" w:color="auto"/>
              <w:bottom w:val="single" w:sz="4" w:space="0" w:color="auto"/>
              <w:right w:val="single" w:sz="4" w:space="0" w:color="auto"/>
            </w:tcBorders>
            <w:vAlign w:val="center"/>
          </w:tcPr>
          <w:p w14:paraId="729A3D90" w14:textId="77777777" w:rsidR="002E1FD6" w:rsidRPr="005A6076" w:rsidRDefault="002E1FD6" w:rsidP="003A4183">
            <w:pPr>
              <w:pStyle w:val="Prrafodelista"/>
              <w:ind w:left="0" w:right="-1"/>
              <w:rPr>
                <w:rFonts w:ascii="Arial" w:hAnsi="Arial" w:cs="Arial"/>
                <w:sz w:val="16"/>
                <w:szCs w:val="16"/>
              </w:rPr>
            </w:pPr>
          </w:p>
        </w:tc>
        <w:tc>
          <w:tcPr>
            <w:tcW w:w="2041" w:type="dxa"/>
            <w:tcBorders>
              <w:top w:val="single" w:sz="4" w:space="0" w:color="auto"/>
              <w:left w:val="single" w:sz="4" w:space="0" w:color="auto"/>
              <w:bottom w:val="single" w:sz="4" w:space="0" w:color="auto"/>
              <w:right w:val="single" w:sz="4" w:space="0" w:color="auto"/>
            </w:tcBorders>
            <w:vAlign w:val="center"/>
          </w:tcPr>
          <w:p w14:paraId="2238B99F"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28-07-2026</w:t>
            </w:r>
          </w:p>
        </w:tc>
        <w:tc>
          <w:tcPr>
            <w:tcW w:w="2041" w:type="dxa"/>
            <w:tcBorders>
              <w:top w:val="single" w:sz="4" w:space="0" w:color="auto"/>
              <w:left w:val="single" w:sz="4" w:space="0" w:color="auto"/>
              <w:bottom w:val="single" w:sz="4" w:space="0" w:color="auto"/>
              <w:right w:val="single" w:sz="4" w:space="0" w:color="auto"/>
            </w:tcBorders>
            <w:vAlign w:val="center"/>
          </w:tcPr>
          <w:p w14:paraId="7535C96C"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XX-07-2026</w:t>
            </w:r>
          </w:p>
        </w:tc>
        <w:tc>
          <w:tcPr>
            <w:tcW w:w="2041" w:type="dxa"/>
            <w:tcBorders>
              <w:top w:val="single" w:sz="4" w:space="0" w:color="auto"/>
              <w:left w:val="single" w:sz="4" w:space="0" w:color="auto"/>
              <w:bottom w:val="single" w:sz="4" w:space="0" w:color="auto"/>
              <w:right w:val="single" w:sz="4" w:space="0" w:color="auto"/>
            </w:tcBorders>
            <w:vAlign w:val="center"/>
          </w:tcPr>
          <w:p w14:paraId="2B7D2B12" w14:textId="77777777" w:rsidR="002E1FD6" w:rsidRPr="005A6076" w:rsidRDefault="002E1FD6" w:rsidP="003A4183">
            <w:pPr>
              <w:pStyle w:val="Prrafodelista"/>
              <w:ind w:left="0" w:right="-1"/>
              <w:rPr>
                <w:rFonts w:ascii="Arial" w:hAnsi="Arial" w:cs="Arial"/>
                <w:sz w:val="16"/>
                <w:szCs w:val="16"/>
              </w:rPr>
            </w:pPr>
            <w:r>
              <w:rPr>
                <w:rFonts w:ascii="Arial" w:hAnsi="Arial" w:cs="Arial"/>
                <w:sz w:val="16"/>
                <w:szCs w:val="16"/>
              </w:rPr>
              <w:t>XX-XX-202X</w:t>
            </w:r>
          </w:p>
        </w:tc>
      </w:tr>
    </w:tbl>
    <w:p w14:paraId="620D7438" w14:textId="77777777" w:rsidR="002E1FD6" w:rsidRPr="004B7816" w:rsidRDefault="002E1FD6" w:rsidP="002E1FD6">
      <w:pPr>
        <w:jc w:val="both"/>
        <w:rPr>
          <w:rFonts w:ascii="Arial" w:hAnsi="Arial" w:cs="Arial"/>
        </w:rPr>
      </w:pPr>
    </w:p>
    <w:p w14:paraId="28A26D21" w14:textId="77777777" w:rsidR="00657C71" w:rsidRPr="002E1FD6" w:rsidRDefault="00657C71" w:rsidP="002E1FD6"/>
    <w:sectPr w:rsidR="00657C71" w:rsidRPr="002E1FD6">
      <w:headerReference w:type="default" r:id="rId28"/>
      <w:footerReference w:type="default" r:id="rId2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C364" w14:textId="77777777" w:rsidR="002C7C8D" w:rsidRDefault="002C7C8D" w:rsidP="00CE6C02">
      <w:pPr>
        <w:spacing w:after="0" w:line="240" w:lineRule="auto"/>
      </w:pPr>
      <w:r>
        <w:separator/>
      </w:r>
    </w:p>
  </w:endnote>
  <w:endnote w:type="continuationSeparator" w:id="0">
    <w:p w14:paraId="3252660D" w14:textId="77777777" w:rsidR="002C7C8D" w:rsidRDefault="002C7C8D" w:rsidP="00CE6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2945"/>
      <w:gridCol w:w="2945"/>
      <w:gridCol w:w="2945"/>
    </w:tblGrid>
    <w:tr w:rsidR="3781056F" w14:paraId="0A9D8E2F" w14:textId="77777777" w:rsidTr="3781056F">
      <w:trPr>
        <w:trHeight w:val="300"/>
      </w:trPr>
      <w:tc>
        <w:tcPr>
          <w:tcW w:w="2945" w:type="dxa"/>
        </w:tcPr>
        <w:p w14:paraId="36EDFDB7" w14:textId="6411FD70" w:rsidR="3781056F" w:rsidRDefault="3781056F" w:rsidP="3781056F">
          <w:pPr>
            <w:pStyle w:val="Encabezado"/>
            <w:ind w:left="-115"/>
          </w:pPr>
        </w:p>
      </w:tc>
      <w:tc>
        <w:tcPr>
          <w:tcW w:w="2945" w:type="dxa"/>
        </w:tcPr>
        <w:p w14:paraId="5C3F7E7D" w14:textId="2A8F25E0" w:rsidR="3781056F" w:rsidRDefault="3781056F" w:rsidP="3781056F">
          <w:pPr>
            <w:pStyle w:val="Encabezado"/>
            <w:jc w:val="center"/>
          </w:pPr>
        </w:p>
      </w:tc>
      <w:tc>
        <w:tcPr>
          <w:tcW w:w="2945" w:type="dxa"/>
        </w:tcPr>
        <w:p w14:paraId="140501D0" w14:textId="595FDC38" w:rsidR="3781056F" w:rsidRDefault="3781056F" w:rsidP="3781056F">
          <w:pPr>
            <w:pStyle w:val="Encabezado"/>
            <w:ind w:right="-115"/>
            <w:jc w:val="right"/>
          </w:pPr>
        </w:p>
      </w:tc>
    </w:tr>
  </w:tbl>
  <w:p w14:paraId="3C62DFDB" w14:textId="61E48D58" w:rsidR="3781056F" w:rsidRDefault="3781056F" w:rsidP="378105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C252" w14:textId="77777777" w:rsidR="002C7C8D" w:rsidRDefault="002C7C8D" w:rsidP="00CE6C02">
      <w:pPr>
        <w:spacing w:after="0" w:line="240" w:lineRule="auto"/>
      </w:pPr>
      <w:r>
        <w:separator/>
      </w:r>
    </w:p>
  </w:footnote>
  <w:footnote w:type="continuationSeparator" w:id="0">
    <w:p w14:paraId="539130F5" w14:textId="77777777" w:rsidR="002C7C8D" w:rsidRDefault="002C7C8D" w:rsidP="00CE6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991"/>
      <w:gridCol w:w="1132"/>
      <w:gridCol w:w="956"/>
    </w:tblGrid>
    <w:tr w:rsidR="00CE6C02" w:rsidRPr="00E31384" w14:paraId="15864B15" w14:textId="77777777" w:rsidTr="3781056F">
      <w:trPr>
        <w:trHeight w:val="720"/>
      </w:trPr>
      <w:tc>
        <w:tcPr>
          <w:tcW w:w="1560" w:type="dxa"/>
          <w:vMerge w:val="restart"/>
          <w:vAlign w:val="center"/>
        </w:tcPr>
        <w:p w14:paraId="37FCBDAE" w14:textId="77777777" w:rsidR="00CE6C02" w:rsidRPr="009B4676" w:rsidRDefault="00CE6C02" w:rsidP="00CE6C02">
          <w:pPr>
            <w:jc w:val="center"/>
            <w:rPr>
              <w:rFonts w:ascii="Arial" w:hAnsi="Arial" w:cs="Arial"/>
              <w:b/>
              <w:sz w:val="24"/>
            </w:rPr>
          </w:pPr>
          <w:bookmarkStart w:id="0" w:name="_Hlk126915421"/>
          <w:r w:rsidRPr="00C91DD7">
            <w:rPr>
              <w:rFonts w:ascii="Arial" w:hAnsi="Arial" w:cs="Arial"/>
              <w:b/>
              <w:noProof/>
              <w:sz w:val="24"/>
            </w:rPr>
            <w:drawing>
              <wp:inline distT="0" distB="0" distL="0" distR="0" wp14:anchorId="2EDE3E78" wp14:editId="1F0F5B23">
                <wp:extent cx="752475" cy="742950"/>
                <wp:effectExtent l="0" t="0" r="0" b="0"/>
                <wp:docPr id="2109488414" name="Imagen 2109488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tc>
      <w:tc>
        <w:tcPr>
          <w:tcW w:w="5991" w:type="dxa"/>
          <w:vMerge w:val="restart"/>
          <w:vAlign w:val="center"/>
        </w:tcPr>
        <w:p w14:paraId="76059C44" w14:textId="119AB946" w:rsidR="00CE6C02" w:rsidRPr="00E24BCD" w:rsidRDefault="00246190" w:rsidP="00CE6C02">
          <w:pPr>
            <w:jc w:val="center"/>
            <w:rPr>
              <w:rFonts w:ascii="Arial" w:hAnsi="Arial" w:cs="Arial"/>
              <w:b/>
              <w:bCs/>
              <w:sz w:val="24"/>
              <w:szCs w:val="24"/>
            </w:rPr>
          </w:pPr>
          <w:r w:rsidRPr="00246190">
            <w:rPr>
              <w:rFonts w:ascii="Arial" w:hAnsi="Arial" w:cs="Arial"/>
              <w:b/>
              <w:bCs/>
              <w:sz w:val="24"/>
              <w:szCs w:val="24"/>
            </w:rPr>
            <w:t>INFORME DE ACTUALIZACIÓN DE LOS CATÁLOGOS DE ELEMENTOS DE INFRAESTRUCTURA DE TI – SECTORIAL</w:t>
          </w:r>
        </w:p>
      </w:tc>
      <w:tc>
        <w:tcPr>
          <w:tcW w:w="2088" w:type="dxa"/>
          <w:gridSpan w:val="2"/>
          <w:vAlign w:val="center"/>
        </w:tcPr>
        <w:p w14:paraId="5048D7A9" w14:textId="77777777" w:rsidR="00CE6C02" w:rsidRPr="00E31384" w:rsidRDefault="3781056F" w:rsidP="00CE6C02">
          <w:pPr>
            <w:ind w:left="-113" w:right="-113"/>
            <w:jc w:val="center"/>
            <w:rPr>
              <w:rFonts w:ascii="Arial" w:hAnsi="Arial" w:cs="Arial"/>
              <w:sz w:val="14"/>
              <w:szCs w:val="14"/>
            </w:rPr>
          </w:pPr>
          <w:r>
            <w:rPr>
              <w:noProof/>
            </w:rPr>
            <w:drawing>
              <wp:inline distT="0" distB="0" distL="0" distR="0" wp14:anchorId="2B280384" wp14:editId="2F409ADA">
                <wp:extent cx="1102043" cy="369411"/>
                <wp:effectExtent l="0" t="0" r="0" b="0"/>
                <wp:docPr id="869996410" name="Imagen 69950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9502759"/>
                        <pic:cNvPicPr/>
                      </pic:nvPicPr>
                      <pic:blipFill>
                        <a:blip r:embed="rId2">
                          <a:extLst>
                            <a:ext uri="{28A0092B-C50C-407E-A947-70E740481C1C}">
                              <a14:useLocalDpi xmlns:a14="http://schemas.microsoft.com/office/drawing/2010/main"/>
                            </a:ext>
                          </a:extLst>
                        </a:blip>
                        <a:srcRect l="11174" t="22099" r="11345" b="22292"/>
                        <a:stretch>
                          <a:fillRect/>
                        </a:stretch>
                      </pic:blipFill>
                      <pic:spPr bwMode="auto">
                        <a:xfrm>
                          <a:off x="0" y="0"/>
                          <a:ext cx="1102043" cy="369411"/>
                        </a:xfrm>
                        <a:prstGeom prst="rect">
                          <a:avLst/>
                        </a:prstGeom>
                        <a:noFill/>
                        <a:ln>
                          <a:noFill/>
                        </a:ln>
                      </pic:spPr>
                    </pic:pic>
                  </a:graphicData>
                </a:graphic>
              </wp:inline>
            </w:drawing>
          </w:r>
        </w:p>
      </w:tc>
    </w:tr>
    <w:tr w:rsidR="00CE6C02" w:rsidRPr="00E31384" w14:paraId="7B6563B3" w14:textId="77777777" w:rsidTr="3781056F">
      <w:trPr>
        <w:trHeight w:val="280"/>
      </w:trPr>
      <w:tc>
        <w:tcPr>
          <w:tcW w:w="1560" w:type="dxa"/>
          <w:vMerge/>
          <w:vAlign w:val="center"/>
        </w:tcPr>
        <w:p w14:paraId="5BFB328E" w14:textId="77777777" w:rsidR="00CE6C02" w:rsidRPr="009B4676" w:rsidRDefault="00CE6C02" w:rsidP="00CE6C02">
          <w:pPr>
            <w:jc w:val="center"/>
            <w:rPr>
              <w:rFonts w:ascii="Arial" w:hAnsi="Arial" w:cs="Arial"/>
              <w:bCs/>
              <w:sz w:val="16"/>
              <w:szCs w:val="16"/>
            </w:rPr>
          </w:pPr>
        </w:p>
      </w:tc>
      <w:tc>
        <w:tcPr>
          <w:tcW w:w="5991" w:type="dxa"/>
          <w:vMerge/>
          <w:vAlign w:val="center"/>
        </w:tcPr>
        <w:p w14:paraId="4ECF47D4" w14:textId="77777777" w:rsidR="00CE6C02" w:rsidRPr="009B4676" w:rsidRDefault="00CE6C02" w:rsidP="00CE6C02">
          <w:pPr>
            <w:jc w:val="center"/>
            <w:rPr>
              <w:rFonts w:ascii="Arial" w:hAnsi="Arial" w:cs="Arial"/>
              <w:bCs/>
              <w:sz w:val="16"/>
              <w:szCs w:val="16"/>
            </w:rPr>
          </w:pPr>
        </w:p>
      </w:tc>
      <w:tc>
        <w:tcPr>
          <w:tcW w:w="2088" w:type="dxa"/>
          <w:gridSpan w:val="2"/>
          <w:vAlign w:val="center"/>
        </w:tcPr>
        <w:p w14:paraId="01036C7B" w14:textId="77777777" w:rsidR="00CE6C02" w:rsidRPr="00E31384" w:rsidRDefault="00CE6C02" w:rsidP="00CE6C02">
          <w:pPr>
            <w:jc w:val="center"/>
            <w:rPr>
              <w:rFonts w:ascii="Arial" w:hAnsi="Arial" w:cs="Arial"/>
              <w:sz w:val="14"/>
              <w:szCs w:val="14"/>
            </w:rPr>
          </w:pPr>
          <w:r>
            <w:rPr>
              <w:rFonts w:ascii="Arial" w:hAnsi="Arial" w:cs="Arial"/>
              <w:sz w:val="14"/>
              <w:szCs w:val="14"/>
            </w:rPr>
            <w:t>T-GT-X-XX</w:t>
          </w:r>
        </w:p>
      </w:tc>
    </w:tr>
    <w:tr w:rsidR="00CE6C02" w:rsidRPr="00E31384" w14:paraId="4BF91D1A" w14:textId="77777777" w:rsidTr="3781056F">
      <w:trPr>
        <w:trHeight w:val="227"/>
      </w:trPr>
      <w:tc>
        <w:tcPr>
          <w:tcW w:w="1560" w:type="dxa"/>
          <w:vMerge/>
          <w:vAlign w:val="center"/>
        </w:tcPr>
        <w:p w14:paraId="7BAED2FE" w14:textId="77777777" w:rsidR="00CE6C02" w:rsidRPr="009B4676" w:rsidRDefault="00CE6C02" w:rsidP="00CE6C02">
          <w:pPr>
            <w:jc w:val="center"/>
            <w:rPr>
              <w:rFonts w:ascii="Arial" w:hAnsi="Arial" w:cs="Arial"/>
              <w:bCs/>
              <w:sz w:val="16"/>
              <w:szCs w:val="16"/>
            </w:rPr>
          </w:pPr>
        </w:p>
      </w:tc>
      <w:tc>
        <w:tcPr>
          <w:tcW w:w="5991" w:type="dxa"/>
          <w:vMerge/>
          <w:vAlign w:val="center"/>
        </w:tcPr>
        <w:p w14:paraId="7CE16783" w14:textId="77777777" w:rsidR="00CE6C02" w:rsidRPr="009B4676" w:rsidRDefault="00CE6C02" w:rsidP="00CE6C02">
          <w:pPr>
            <w:jc w:val="center"/>
            <w:rPr>
              <w:rFonts w:ascii="Arial" w:hAnsi="Arial" w:cs="Arial"/>
              <w:bCs/>
              <w:sz w:val="16"/>
              <w:szCs w:val="16"/>
            </w:rPr>
          </w:pPr>
        </w:p>
      </w:tc>
      <w:tc>
        <w:tcPr>
          <w:tcW w:w="1132" w:type="dxa"/>
          <w:vAlign w:val="center"/>
        </w:tcPr>
        <w:p w14:paraId="6E4CF590" w14:textId="77777777" w:rsidR="00CE6C02" w:rsidRPr="00E31384" w:rsidRDefault="00CE6C02" w:rsidP="00CE6C02">
          <w:pPr>
            <w:jc w:val="center"/>
            <w:outlineLvl w:val="0"/>
            <w:rPr>
              <w:rFonts w:ascii="Arial" w:hAnsi="Arial" w:cs="Arial"/>
              <w:sz w:val="14"/>
              <w:szCs w:val="16"/>
            </w:rPr>
          </w:pPr>
          <w:r>
            <w:rPr>
              <w:rFonts w:ascii="Arial" w:hAnsi="Arial" w:cs="Arial"/>
              <w:sz w:val="14"/>
              <w:szCs w:val="16"/>
            </w:rPr>
            <w:t>XX-10-2025</w:t>
          </w:r>
        </w:p>
      </w:tc>
      <w:tc>
        <w:tcPr>
          <w:tcW w:w="956" w:type="dxa"/>
          <w:vAlign w:val="center"/>
        </w:tcPr>
        <w:p w14:paraId="19758196" w14:textId="77777777" w:rsidR="00CE6C02" w:rsidRPr="00E31384" w:rsidRDefault="00CE6C02" w:rsidP="00CE6C02">
          <w:pPr>
            <w:tabs>
              <w:tab w:val="left" w:pos="1061"/>
            </w:tabs>
            <w:jc w:val="center"/>
            <w:outlineLvl w:val="0"/>
            <w:rPr>
              <w:rFonts w:ascii="Arial" w:hAnsi="Arial" w:cs="Arial"/>
              <w:sz w:val="14"/>
              <w:szCs w:val="16"/>
            </w:rPr>
          </w:pPr>
          <w:r>
            <w:rPr>
              <w:rFonts w:ascii="Arial" w:hAnsi="Arial" w:cs="Arial"/>
              <w:sz w:val="14"/>
              <w:szCs w:val="16"/>
            </w:rPr>
            <w:t>V-1</w:t>
          </w:r>
        </w:p>
      </w:tc>
    </w:tr>
    <w:bookmarkEnd w:id="0"/>
  </w:tbl>
  <w:p w14:paraId="2C73939E" w14:textId="77777777" w:rsidR="00CE6C02" w:rsidRDefault="00CE6C0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9041F2"/>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475695"/>
    <w:multiLevelType w:val="multilevel"/>
    <w:tmpl w:val="C8945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832620"/>
    <w:multiLevelType w:val="multilevel"/>
    <w:tmpl w:val="AD80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9687D"/>
    <w:multiLevelType w:val="multilevel"/>
    <w:tmpl w:val="C194C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FC0D2F"/>
    <w:multiLevelType w:val="multilevel"/>
    <w:tmpl w:val="CF7C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9A05C0"/>
    <w:multiLevelType w:val="hybridMultilevel"/>
    <w:tmpl w:val="B3A08F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6C6863"/>
    <w:multiLevelType w:val="multilevel"/>
    <w:tmpl w:val="F300FE9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5B65A1"/>
    <w:multiLevelType w:val="multilevel"/>
    <w:tmpl w:val="23B8D4B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D05966"/>
    <w:multiLevelType w:val="multilevel"/>
    <w:tmpl w:val="52E0E0B0"/>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C0D37"/>
    <w:multiLevelType w:val="multilevel"/>
    <w:tmpl w:val="624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95537E"/>
    <w:multiLevelType w:val="hybridMultilevel"/>
    <w:tmpl w:val="897E16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F2702F7"/>
    <w:multiLevelType w:val="multilevel"/>
    <w:tmpl w:val="FCF4A02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6B47D1"/>
    <w:multiLevelType w:val="hybridMultilevel"/>
    <w:tmpl w:val="E48EB5FC"/>
    <w:lvl w:ilvl="0" w:tplc="FDE26874">
      <w:start w:val="1"/>
      <w:numFmt w:val="bullet"/>
      <w:lvlText w:val="●"/>
      <w:lvlJc w:val="left"/>
      <w:pPr>
        <w:ind w:left="720" w:hanging="360"/>
      </w:pPr>
    </w:lvl>
    <w:lvl w:ilvl="1" w:tplc="9C6C57FC">
      <w:start w:val="1"/>
      <w:numFmt w:val="bullet"/>
      <w:lvlText w:val="○"/>
      <w:lvlJc w:val="left"/>
      <w:pPr>
        <w:ind w:left="1440" w:hanging="360"/>
      </w:pPr>
    </w:lvl>
    <w:lvl w:ilvl="2" w:tplc="C8F01940">
      <w:start w:val="1"/>
      <w:numFmt w:val="bullet"/>
      <w:lvlText w:val="■"/>
      <w:lvlJc w:val="left"/>
      <w:pPr>
        <w:ind w:left="2160" w:hanging="360"/>
      </w:pPr>
    </w:lvl>
    <w:lvl w:ilvl="3" w:tplc="1BB0795A">
      <w:start w:val="1"/>
      <w:numFmt w:val="bullet"/>
      <w:lvlText w:val="●"/>
      <w:lvlJc w:val="left"/>
      <w:pPr>
        <w:ind w:left="2880" w:hanging="360"/>
      </w:pPr>
    </w:lvl>
    <w:lvl w:ilvl="4" w:tplc="D40092C0">
      <w:start w:val="1"/>
      <w:numFmt w:val="bullet"/>
      <w:lvlText w:val="○"/>
      <w:lvlJc w:val="left"/>
      <w:pPr>
        <w:ind w:left="3600" w:hanging="360"/>
      </w:pPr>
    </w:lvl>
    <w:lvl w:ilvl="5" w:tplc="60EC9F96">
      <w:start w:val="1"/>
      <w:numFmt w:val="bullet"/>
      <w:lvlText w:val="■"/>
      <w:lvlJc w:val="left"/>
      <w:pPr>
        <w:ind w:left="4320" w:hanging="360"/>
      </w:pPr>
    </w:lvl>
    <w:lvl w:ilvl="6" w:tplc="A962BA3E">
      <w:start w:val="1"/>
      <w:numFmt w:val="bullet"/>
      <w:lvlText w:val="●"/>
      <w:lvlJc w:val="left"/>
      <w:pPr>
        <w:ind w:left="5040" w:hanging="360"/>
      </w:pPr>
    </w:lvl>
    <w:lvl w:ilvl="7" w:tplc="7C2E532A">
      <w:start w:val="1"/>
      <w:numFmt w:val="bullet"/>
      <w:lvlText w:val="●"/>
      <w:lvlJc w:val="left"/>
      <w:pPr>
        <w:ind w:left="5760" w:hanging="360"/>
      </w:pPr>
    </w:lvl>
    <w:lvl w:ilvl="8" w:tplc="03D66E8A">
      <w:start w:val="1"/>
      <w:numFmt w:val="bullet"/>
      <w:lvlText w:val="●"/>
      <w:lvlJc w:val="left"/>
      <w:pPr>
        <w:ind w:left="6480" w:hanging="360"/>
      </w:pPr>
    </w:lvl>
  </w:abstractNum>
  <w:abstractNum w:abstractNumId="13" w15:restartNumberingAfterBreak="0">
    <w:nsid w:val="49D47B7B"/>
    <w:multiLevelType w:val="multilevel"/>
    <w:tmpl w:val="D2B2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F84CF2"/>
    <w:multiLevelType w:val="multilevel"/>
    <w:tmpl w:val="3DC4F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51659B"/>
    <w:multiLevelType w:val="multilevel"/>
    <w:tmpl w:val="C92C440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F80D36"/>
    <w:multiLevelType w:val="multilevel"/>
    <w:tmpl w:val="EDEC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164CB"/>
    <w:multiLevelType w:val="multilevel"/>
    <w:tmpl w:val="16DE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BF6C3F"/>
    <w:multiLevelType w:val="multilevel"/>
    <w:tmpl w:val="E1C8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723D26"/>
    <w:multiLevelType w:val="multilevel"/>
    <w:tmpl w:val="37504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F367AF"/>
    <w:multiLevelType w:val="multilevel"/>
    <w:tmpl w:val="D9F0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5"/>
  </w:num>
  <w:num w:numId="4">
    <w:abstractNumId w:val="9"/>
  </w:num>
  <w:num w:numId="5">
    <w:abstractNumId w:val="15"/>
  </w:num>
  <w:num w:numId="6">
    <w:abstractNumId w:val="6"/>
  </w:num>
  <w:num w:numId="7">
    <w:abstractNumId w:val="11"/>
  </w:num>
  <w:num w:numId="8">
    <w:abstractNumId w:val="2"/>
  </w:num>
  <w:num w:numId="9">
    <w:abstractNumId w:val="7"/>
  </w:num>
  <w:num w:numId="10">
    <w:abstractNumId w:val="14"/>
  </w:num>
  <w:num w:numId="11">
    <w:abstractNumId w:val="13"/>
  </w:num>
  <w:num w:numId="12">
    <w:abstractNumId w:val="1"/>
  </w:num>
  <w:num w:numId="13">
    <w:abstractNumId w:val="16"/>
  </w:num>
  <w:num w:numId="14">
    <w:abstractNumId w:val="19"/>
  </w:num>
  <w:num w:numId="15">
    <w:abstractNumId w:val="8"/>
  </w:num>
  <w:num w:numId="16">
    <w:abstractNumId w:val="3"/>
  </w:num>
  <w:num w:numId="17">
    <w:abstractNumId w:val="4"/>
  </w:num>
  <w:num w:numId="18">
    <w:abstractNumId w:val="18"/>
  </w:num>
  <w:num w:numId="19">
    <w:abstractNumId w:val="10"/>
  </w:num>
  <w:num w:numId="20">
    <w:abstractNumId w:val="0"/>
  </w:num>
  <w:num w:numId="21">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B14"/>
    <w:rsid w:val="00016465"/>
    <w:rsid w:val="00044ACE"/>
    <w:rsid w:val="00075F2C"/>
    <w:rsid w:val="000A1888"/>
    <w:rsid w:val="0012087F"/>
    <w:rsid w:val="00151056"/>
    <w:rsid w:val="00166605"/>
    <w:rsid w:val="001D6147"/>
    <w:rsid w:val="002074F7"/>
    <w:rsid w:val="002127E2"/>
    <w:rsid w:val="00213321"/>
    <w:rsid w:val="00246190"/>
    <w:rsid w:val="00267037"/>
    <w:rsid w:val="00290DBE"/>
    <w:rsid w:val="002C7C8D"/>
    <w:rsid w:val="002E1FD6"/>
    <w:rsid w:val="002E32C3"/>
    <w:rsid w:val="00322356"/>
    <w:rsid w:val="00327E06"/>
    <w:rsid w:val="00334752"/>
    <w:rsid w:val="003A4E63"/>
    <w:rsid w:val="00401A46"/>
    <w:rsid w:val="00402B14"/>
    <w:rsid w:val="00407A09"/>
    <w:rsid w:val="00461AE3"/>
    <w:rsid w:val="00465CD6"/>
    <w:rsid w:val="004B6847"/>
    <w:rsid w:val="004B7816"/>
    <w:rsid w:val="004D29DB"/>
    <w:rsid w:val="004F026A"/>
    <w:rsid w:val="005321B5"/>
    <w:rsid w:val="0056593F"/>
    <w:rsid w:val="005660D1"/>
    <w:rsid w:val="005B51D0"/>
    <w:rsid w:val="00657C71"/>
    <w:rsid w:val="00660AA8"/>
    <w:rsid w:val="00662E46"/>
    <w:rsid w:val="00683571"/>
    <w:rsid w:val="006C1FB2"/>
    <w:rsid w:val="006D08A9"/>
    <w:rsid w:val="0072582A"/>
    <w:rsid w:val="00755C62"/>
    <w:rsid w:val="00756758"/>
    <w:rsid w:val="0075677A"/>
    <w:rsid w:val="00760C95"/>
    <w:rsid w:val="007F2D3D"/>
    <w:rsid w:val="00830403"/>
    <w:rsid w:val="00840AF4"/>
    <w:rsid w:val="00842D2F"/>
    <w:rsid w:val="008C10D2"/>
    <w:rsid w:val="008F34CC"/>
    <w:rsid w:val="008F7BF6"/>
    <w:rsid w:val="00926FEB"/>
    <w:rsid w:val="00990569"/>
    <w:rsid w:val="009F0955"/>
    <w:rsid w:val="00A17C04"/>
    <w:rsid w:val="00B47DA6"/>
    <w:rsid w:val="00C1641B"/>
    <w:rsid w:val="00C763BF"/>
    <w:rsid w:val="00C85112"/>
    <w:rsid w:val="00C87E60"/>
    <w:rsid w:val="00CC14F8"/>
    <w:rsid w:val="00CE6C02"/>
    <w:rsid w:val="00CF1E88"/>
    <w:rsid w:val="00D0345D"/>
    <w:rsid w:val="00D20871"/>
    <w:rsid w:val="00D2456C"/>
    <w:rsid w:val="00D62CAB"/>
    <w:rsid w:val="00D75EF7"/>
    <w:rsid w:val="00D8704D"/>
    <w:rsid w:val="00D92516"/>
    <w:rsid w:val="00DB5F4B"/>
    <w:rsid w:val="00DD4944"/>
    <w:rsid w:val="00DF296C"/>
    <w:rsid w:val="00E06B39"/>
    <w:rsid w:val="00E163A2"/>
    <w:rsid w:val="00E16FF5"/>
    <w:rsid w:val="00E34DAB"/>
    <w:rsid w:val="00E4408E"/>
    <w:rsid w:val="00E4591C"/>
    <w:rsid w:val="00E54F33"/>
    <w:rsid w:val="00EA1FA1"/>
    <w:rsid w:val="00EB19F4"/>
    <w:rsid w:val="00F40B28"/>
    <w:rsid w:val="00F456F7"/>
    <w:rsid w:val="00F90644"/>
    <w:rsid w:val="00FD12A3"/>
    <w:rsid w:val="03617D66"/>
    <w:rsid w:val="04C9DB9C"/>
    <w:rsid w:val="04CCC4AB"/>
    <w:rsid w:val="05CBB7DF"/>
    <w:rsid w:val="05E1C8E5"/>
    <w:rsid w:val="05EA961E"/>
    <w:rsid w:val="0646A526"/>
    <w:rsid w:val="0669C7B6"/>
    <w:rsid w:val="0720FA5A"/>
    <w:rsid w:val="077D8C9E"/>
    <w:rsid w:val="07D4FE96"/>
    <w:rsid w:val="0B468315"/>
    <w:rsid w:val="0BB59356"/>
    <w:rsid w:val="0CEE83C8"/>
    <w:rsid w:val="0FF1F107"/>
    <w:rsid w:val="102AAE1C"/>
    <w:rsid w:val="10B774D7"/>
    <w:rsid w:val="11135D0D"/>
    <w:rsid w:val="13321D95"/>
    <w:rsid w:val="142F6E9B"/>
    <w:rsid w:val="15653F5D"/>
    <w:rsid w:val="164C8E02"/>
    <w:rsid w:val="16D71AF9"/>
    <w:rsid w:val="174DE6BF"/>
    <w:rsid w:val="18EBB420"/>
    <w:rsid w:val="1B07D020"/>
    <w:rsid w:val="1B1E3C14"/>
    <w:rsid w:val="1B74A29E"/>
    <w:rsid w:val="1BABC3DB"/>
    <w:rsid w:val="1ED2793E"/>
    <w:rsid w:val="20F91172"/>
    <w:rsid w:val="21D4F8C9"/>
    <w:rsid w:val="228A7A0C"/>
    <w:rsid w:val="24B9C597"/>
    <w:rsid w:val="2556D6A8"/>
    <w:rsid w:val="25E73111"/>
    <w:rsid w:val="2A117FAD"/>
    <w:rsid w:val="2A4AC4FC"/>
    <w:rsid w:val="2A674432"/>
    <w:rsid w:val="2A86B979"/>
    <w:rsid w:val="2B21AC3C"/>
    <w:rsid w:val="2E406B01"/>
    <w:rsid w:val="2F9137D1"/>
    <w:rsid w:val="2FB79A11"/>
    <w:rsid w:val="30A36D9C"/>
    <w:rsid w:val="30D12EB4"/>
    <w:rsid w:val="323CC575"/>
    <w:rsid w:val="35C7AA5E"/>
    <w:rsid w:val="3781056F"/>
    <w:rsid w:val="37B5A0A1"/>
    <w:rsid w:val="3A3B985A"/>
    <w:rsid w:val="3B06C717"/>
    <w:rsid w:val="3D957877"/>
    <w:rsid w:val="3F05FC0C"/>
    <w:rsid w:val="40CCD948"/>
    <w:rsid w:val="4526F536"/>
    <w:rsid w:val="476896EE"/>
    <w:rsid w:val="4771E36B"/>
    <w:rsid w:val="47F22BFF"/>
    <w:rsid w:val="484BC0F6"/>
    <w:rsid w:val="4852E0F0"/>
    <w:rsid w:val="48B46E9C"/>
    <w:rsid w:val="48E698DA"/>
    <w:rsid w:val="4C871FAB"/>
    <w:rsid w:val="4D88C7E1"/>
    <w:rsid w:val="4DA5FE30"/>
    <w:rsid w:val="4ED33D14"/>
    <w:rsid w:val="4FF000D4"/>
    <w:rsid w:val="52E88468"/>
    <w:rsid w:val="53D0C597"/>
    <w:rsid w:val="543579B4"/>
    <w:rsid w:val="57C692E3"/>
    <w:rsid w:val="57D0BD86"/>
    <w:rsid w:val="5988FC58"/>
    <w:rsid w:val="59D38F3A"/>
    <w:rsid w:val="5B18EA97"/>
    <w:rsid w:val="5B757008"/>
    <w:rsid w:val="5B9C181E"/>
    <w:rsid w:val="5D0DEF6A"/>
    <w:rsid w:val="5EA2CBB5"/>
    <w:rsid w:val="603E3B85"/>
    <w:rsid w:val="612D78BC"/>
    <w:rsid w:val="6249568F"/>
    <w:rsid w:val="64B13DD9"/>
    <w:rsid w:val="6607B513"/>
    <w:rsid w:val="6612A7A9"/>
    <w:rsid w:val="67565C32"/>
    <w:rsid w:val="6896D1CE"/>
    <w:rsid w:val="690FCD49"/>
    <w:rsid w:val="69706986"/>
    <w:rsid w:val="6B94C09A"/>
    <w:rsid w:val="6BE32ED7"/>
    <w:rsid w:val="6E4E6031"/>
    <w:rsid w:val="71249031"/>
    <w:rsid w:val="72473EFA"/>
    <w:rsid w:val="724CADEA"/>
    <w:rsid w:val="724CAE50"/>
    <w:rsid w:val="72B1C02E"/>
    <w:rsid w:val="72DC7FC4"/>
    <w:rsid w:val="7415F6F2"/>
    <w:rsid w:val="75036C9E"/>
    <w:rsid w:val="754F19C9"/>
    <w:rsid w:val="761870EC"/>
    <w:rsid w:val="76EB87D9"/>
    <w:rsid w:val="7780E9BD"/>
    <w:rsid w:val="791AD1D1"/>
    <w:rsid w:val="7B7E3047"/>
    <w:rsid w:val="7B8141BE"/>
    <w:rsid w:val="7DFD36F6"/>
    <w:rsid w:val="7EAB268A"/>
    <w:rsid w:val="7EF00065"/>
    <w:rsid w:val="7F4226D4"/>
    <w:rsid w:val="7F8A82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9EAB"/>
  <w15:chartTrackingRefBased/>
  <w15:docId w15:val="{06CD3AE6-04E0-48B5-AE2E-596267A5C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B14"/>
    <w:rPr>
      <w:kern w:val="2"/>
      <w14:ligatures w14:val="standardContextual"/>
    </w:rPr>
  </w:style>
  <w:style w:type="paragraph" w:styleId="Ttulo2">
    <w:name w:val="heading 2"/>
    <w:basedOn w:val="Normal"/>
    <w:next w:val="Normal"/>
    <w:link w:val="Ttulo2Car"/>
    <w:uiPriority w:val="9"/>
    <w:semiHidden/>
    <w:unhideWhenUsed/>
    <w:qFormat/>
    <w:rsid w:val="00402B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660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402B14"/>
    <w:rPr>
      <w:rFonts w:asciiTheme="majorHAnsi" w:eastAsiaTheme="majorEastAsia" w:hAnsiTheme="majorHAnsi" w:cstheme="majorBidi"/>
      <w:color w:val="2F5496" w:themeColor="accent1" w:themeShade="BF"/>
      <w:kern w:val="2"/>
      <w:sz w:val="32"/>
      <w:szCs w:val="32"/>
      <w14:ligatures w14:val="standardContextual"/>
    </w:rPr>
  </w:style>
  <w:style w:type="paragraph" w:styleId="Prrafodelista">
    <w:name w:val="List Paragraph"/>
    <w:basedOn w:val="Normal"/>
    <w:uiPriority w:val="34"/>
    <w:qFormat/>
    <w:rsid w:val="00402B14"/>
    <w:pPr>
      <w:ind w:left="720"/>
      <w:contextualSpacing/>
    </w:pPr>
  </w:style>
  <w:style w:type="paragraph" w:styleId="Encabezado">
    <w:name w:val="header"/>
    <w:basedOn w:val="Normal"/>
    <w:link w:val="EncabezadoCar"/>
    <w:uiPriority w:val="99"/>
    <w:unhideWhenUsed/>
    <w:rsid w:val="00CE6C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6C02"/>
    <w:rPr>
      <w:kern w:val="2"/>
      <w14:ligatures w14:val="standardContextual"/>
    </w:rPr>
  </w:style>
  <w:style w:type="paragraph" w:styleId="Piedepgina">
    <w:name w:val="footer"/>
    <w:basedOn w:val="Normal"/>
    <w:link w:val="PiedepginaCar"/>
    <w:uiPriority w:val="99"/>
    <w:unhideWhenUsed/>
    <w:rsid w:val="00CE6C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6C02"/>
    <w:rPr>
      <w:kern w:val="2"/>
      <w14:ligatures w14:val="standardContextual"/>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kern w:val="2"/>
      <w:sz w:val="20"/>
      <w:szCs w:val="20"/>
      <w14:ligatures w14:val="standardContextual"/>
    </w:rPr>
  </w:style>
  <w:style w:type="character" w:styleId="Refdecomentario">
    <w:name w:val="annotation reference"/>
    <w:basedOn w:val="Fuentedeprrafopredeter"/>
    <w:uiPriority w:val="99"/>
    <w:semiHidden/>
    <w:unhideWhenUsed/>
    <w:rPr>
      <w:sz w:val="16"/>
      <w:szCs w:val="16"/>
    </w:rPr>
  </w:style>
  <w:style w:type="character" w:customStyle="1" w:styleId="Ttulo3Car">
    <w:name w:val="Título 3 Car"/>
    <w:basedOn w:val="Fuentedeprrafopredeter"/>
    <w:link w:val="Ttulo3"/>
    <w:uiPriority w:val="9"/>
    <w:semiHidden/>
    <w:rsid w:val="005660D1"/>
    <w:rPr>
      <w:rFonts w:asciiTheme="majorHAnsi" w:eastAsiaTheme="majorEastAsia" w:hAnsiTheme="majorHAnsi" w:cstheme="majorBidi"/>
      <w:color w:val="1F3763" w:themeColor="accent1" w:themeShade="7F"/>
      <w:kern w:val="2"/>
      <w:sz w:val="24"/>
      <w:szCs w:val="24"/>
      <w14:ligatures w14:val="standardContextual"/>
    </w:rPr>
  </w:style>
  <w:style w:type="paragraph" w:styleId="NormalWeb">
    <w:name w:val="Normal (Web)"/>
    <w:basedOn w:val="Normal"/>
    <w:uiPriority w:val="99"/>
    <w:semiHidden/>
    <w:unhideWhenUsed/>
    <w:rsid w:val="005660D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Listaconvietas">
    <w:name w:val="List Bullet"/>
    <w:basedOn w:val="Normal"/>
    <w:uiPriority w:val="99"/>
    <w:unhideWhenUsed/>
    <w:rsid w:val="008C10D2"/>
    <w:pPr>
      <w:numPr>
        <w:numId w:val="20"/>
      </w:numPr>
      <w:spacing w:after="200" w:line="276" w:lineRule="auto"/>
      <w:contextualSpacing/>
    </w:pPr>
    <w:rPr>
      <w:rFonts w:ascii="Arial" w:eastAsiaTheme="minorEastAsia" w:hAnsi="Arial"/>
      <w:color w:val="212529"/>
      <w:kern w:val="0"/>
      <w:sz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2132">
      <w:bodyDiv w:val="1"/>
      <w:marLeft w:val="0"/>
      <w:marRight w:val="0"/>
      <w:marTop w:val="0"/>
      <w:marBottom w:val="0"/>
      <w:divBdr>
        <w:top w:val="none" w:sz="0" w:space="0" w:color="auto"/>
        <w:left w:val="none" w:sz="0" w:space="0" w:color="auto"/>
        <w:bottom w:val="none" w:sz="0" w:space="0" w:color="auto"/>
        <w:right w:val="none" w:sz="0" w:space="0" w:color="auto"/>
      </w:divBdr>
      <w:divsChild>
        <w:div w:id="1094932286">
          <w:marLeft w:val="0"/>
          <w:marRight w:val="0"/>
          <w:marTop w:val="0"/>
          <w:marBottom w:val="0"/>
          <w:divBdr>
            <w:top w:val="none" w:sz="0" w:space="0" w:color="auto"/>
            <w:left w:val="none" w:sz="0" w:space="0" w:color="auto"/>
            <w:bottom w:val="none" w:sz="0" w:space="0" w:color="auto"/>
            <w:right w:val="none" w:sz="0" w:space="0" w:color="auto"/>
          </w:divBdr>
        </w:div>
      </w:divsChild>
    </w:div>
    <w:div w:id="297222355">
      <w:bodyDiv w:val="1"/>
      <w:marLeft w:val="0"/>
      <w:marRight w:val="0"/>
      <w:marTop w:val="0"/>
      <w:marBottom w:val="0"/>
      <w:divBdr>
        <w:top w:val="none" w:sz="0" w:space="0" w:color="auto"/>
        <w:left w:val="none" w:sz="0" w:space="0" w:color="auto"/>
        <w:bottom w:val="none" w:sz="0" w:space="0" w:color="auto"/>
        <w:right w:val="none" w:sz="0" w:space="0" w:color="auto"/>
      </w:divBdr>
      <w:divsChild>
        <w:div w:id="568153488">
          <w:marLeft w:val="0"/>
          <w:marRight w:val="0"/>
          <w:marTop w:val="0"/>
          <w:marBottom w:val="0"/>
          <w:divBdr>
            <w:top w:val="none" w:sz="0" w:space="0" w:color="auto"/>
            <w:left w:val="none" w:sz="0" w:space="0" w:color="auto"/>
            <w:bottom w:val="none" w:sz="0" w:space="0" w:color="auto"/>
            <w:right w:val="none" w:sz="0" w:space="0" w:color="auto"/>
          </w:divBdr>
        </w:div>
      </w:divsChild>
    </w:div>
    <w:div w:id="397900273">
      <w:bodyDiv w:val="1"/>
      <w:marLeft w:val="0"/>
      <w:marRight w:val="0"/>
      <w:marTop w:val="0"/>
      <w:marBottom w:val="0"/>
      <w:divBdr>
        <w:top w:val="none" w:sz="0" w:space="0" w:color="auto"/>
        <w:left w:val="none" w:sz="0" w:space="0" w:color="auto"/>
        <w:bottom w:val="none" w:sz="0" w:space="0" w:color="auto"/>
        <w:right w:val="none" w:sz="0" w:space="0" w:color="auto"/>
      </w:divBdr>
      <w:divsChild>
        <w:div w:id="1166626015">
          <w:marLeft w:val="0"/>
          <w:marRight w:val="0"/>
          <w:marTop w:val="0"/>
          <w:marBottom w:val="0"/>
          <w:divBdr>
            <w:top w:val="none" w:sz="0" w:space="0" w:color="auto"/>
            <w:left w:val="none" w:sz="0" w:space="0" w:color="auto"/>
            <w:bottom w:val="none" w:sz="0" w:space="0" w:color="auto"/>
            <w:right w:val="none" w:sz="0" w:space="0" w:color="auto"/>
          </w:divBdr>
        </w:div>
      </w:divsChild>
    </w:div>
    <w:div w:id="438913798">
      <w:bodyDiv w:val="1"/>
      <w:marLeft w:val="0"/>
      <w:marRight w:val="0"/>
      <w:marTop w:val="0"/>
      <w:marBottom w:val="0"/>
      <w:divBdr>
        <w:top w:val="none" w:sz="0" w:space="0" w:color="auto"/>
        <w:left w:val="none" w:sz="0" w:space="0" w:color="auto"/>
        <w:bottom w:val="none" w:sz="0" w:space="0" w:color="auto"/>
        <w:right w:val="none" w:sz="0" w:space="0" w:color="auto"/>
      </w:divBdr>
      <w:divsChild>
        <w:div w:id="494339717">
          <w:marLeft w:val="0"/>
          <w:marRight w:val="0"/>
          <w:marTop w:val="0"/>
          <w:marBottom w:val="0"/>
          <w:divBdr>
            <w:top w:val="none" w:sz="0" w:space="0" w:color="auto"/>
            <w:left w:val="none" w:sz="0" w:space="0" w:color="auto"/>
            <w:bottom w:val="none" w:sz="0" w:space="0" w:color="auto"/>
            <w:right w:val="none" w:sz="0" w:space="0" w:color="auto"/>
          </w:divBdr>
        </w:div>
      </w:divsChild>
    </w:div>
    <w:div w:id="452870840">
      <w:bodyDiv w:val="1"/>
      <w:marLeft w:val="0"/>
      <w:marRight w:val="0"/>
      <w:marTop w:val="0"/>
      <w:marBottom w:val="0"/>
      <w:divBdr>
        <w:top w:val="none" w:sz="0" w:space="0" w:color="auto"/>
        <w:left w:val="none" w:sz="0" w:space="0" w:color="auto"/>
        <w:bottom w:val="none" w:sz="0" w:space="0" w:color="auto"/>
        <w:right w:val="none" w:sz="0" w:space="0" w:color="auto"/>
      </w:divBdr>
      <w:divsChild>
        <w:div w:id="742720399">
          <w:marLeft w:val="0"/>
          <w:marRight w:val="0"/>
          <w:marTop w:val="0"/>
          <w:marBottom w:val="0"/>
          <w:divBdr>
            <w:top w:val="none" w:sz="0" w:space="0" w:color="auto"/>
            <w:left w:val="none" w:sz="0" w:space="0" w:color="auto"/>
            <w:bottom w:val="none" w:sz="0" w:space="0" w:color="auto"/>
            <w:right w:val="none" w:sz="0" w:space="0" w:color="auto"/>
          </w:divBdr>
        </w:div>
      </w:divsChild>
    </w:div>
    <w:div w:id="463039015">
      <w:bodyDiv w:val="1"/>
      <w:marLeft w:val="0"/>
      <w:marRight w:val="0"/>
      <w:marTop w:val="0"/>
      <w:marBottom w:val="0"/>
      <w:divBdr>
        <w:top w:val="none" w:sz="0" w:space="0" w:color="auto"/>
        <w:left w:val="none" w:sz="0" w:space="0" w:color="auto"/>
        <w:bottom w:val="none" w:sz="0" w:space="0" w:color="auto"/>
        <w:right w:val="none" w:sz="0" w:space="0" w:color="auto"/>
      </w:divBdr>
    </w:div>
    <w:div w:id="490143868">
      <w:bodyDiv w:val="1"/>
      <w:marLeft w:val="0"/>
      <w:marRight w:val="0"/>
      <w:marTop w:val="0"/>
      <w:marBottom w:val="0"/>
      <w:divBdr>
        <w:top w:val="none" w:sz="0" w:space="0" w:color="auto"/>
        <w:left w:val="none" w:sz="0" w:space="0" w:color="auto"/>
        <w:bottom w:val="none" w:sz="0" w:space="0" w:color="auto"/>
        <w:right w:val="none" w:sz="0" w:space="0" w:color="auto"/>
      </w:divBdr>
      <w:divsChild>
        <w:div w:id="1995642849">
          <w:marLeft w:val="0"/>
          <w:marRight w:val="0"/>
          <w:marTop w:val="0"/>
          <w:marBottom w:val="0"/>
          <w:divBdr>
            <w:top w:val="none" w:sz="0" w:space="0" w:color="auto"/>
            <w:left w:val="none" w:sz="0" w:space="0" w:color="auto"/>
            <w:bottom w:val="none" w:sz="0" w:space="0" w:color="auto"/>
            <w:right w:val="none" w:sz="0" w:space="0" w:color="auto"/>
          </w:divBdr>
        </w:div>
      </w:divsChild>
    </w:div>
    <w:div w:id="769860583">
      <w:bodyDiv w:val="1"/>
      <w:marLeft w:val="0"/>
      <w:marRight w:val="0"/>
      <w:marTop w:val="0"/>
      <w:marBottom w:val="0"/>
      <w:divBdr>
        <w:top w:val="none" w:sz="0" w:space="0" w:color="auto"/>
        <w:left w:val="none" w:sz="0" w:space="0" w:color="auto"/>
        <w:bottom w:val="none" w:sz="0" w:space="0" w:color="auto"/>
        <w:right w:val="none" w:sz="0" w:space="0" w:color="auto"/>
      </w:divBdr>
      <w:divsChild>
        <w:div w:id="1954440510">
          <w:marLeft w:val="0"/>
          <w:marRight w:val="0"/>
          <w:marTop w:val="0"/>
          <w:marBottom w:val="0"/>
          <w:divBdr>
            <w:top w:val="none" w:sz="0" w:space="0" w:color="auto"/>
            <w:left w:val="none" w:sz="0" w:space="0" w:color="auto"/>
            <w:bottom w:val="none" w:sz="0" w:space="0" w:color="auto"/>
            <w:right w:val="none" w:sz="0" w:space="0" w:color="auto"/>
          </w:divBdr>
        </w:div>
      </w:divsChild>
    </w:div>
    <w:div w:id="827092190">
      <w:bodyDiv w:val="1"/>
      <w:marLeft w:val="0"/>
      <w:marRight w:val="0"/>
      <w:marTop w:val="0"/>
      <w:marBottom w:val="0"/>
      <w:divBdr>
        <w:top w:val="none" w:sz="0" w:space="0" w:color="auto"/>
        <w:left w:val="none" w:sz="0" w:space="0" w:color="auto"/>
        <w:bottom w:val="none" w:sz="0" w:space="0" w:color="auto"/>
        <w:right w:val="none" w:sz="0" w:space="0" w:color="auto"/>
      </w:divBdr>
      <w:divsChild>
        <w:div w:id="490954012">
          <w:marLeft w:val="0"/>
          <w:marRight w:val="0"/>
          <w:marTop w:val="0"/>
          <w:marBottom w:val="0"/>
          <w:divBdr>
            <w:top w:val="none" w:sz="0" w:space="0" w:color="auto"/>
            <w:left w:val="none" w:sz="0" w:space="0" w:color="auto"/>
            <w:bottom w:val="none" w:sz="0" w:space="0" w:color="auto"/>
            <w:right w:val="none" w:sz="0" w:space="0" w:color="auto"/>
          </w:divBdr>
        </w:div>
      </w:divsChild>
    </w:div>
    <w:div w:id="861942949">
      <w:bodyDiv w:val="1"/>
      <w:marLeft w:val="0"/>
      <w:marRight w:val="0"/>
      <w:marTop w:val="0"/>
      <w:marBottom w:val="0"/>
      <w:divBdr>
        <w:top w:val="none" w:sz="0" w:space="0" w:color="auto"/>
        <w:left w:val="none" w:sz="0" w:space="0" w:color="auto"/>
        <w:bottom w:val="none" w:sz="0" w:space="0" w:color="auto"/>
        <w:right w:val="none" w:sz="0" w:space="0" w:color="auto"/>
      </w:divBdr>
      <w:divsChild>
        <w:div w:id="392898397">
          <w:marLeft w:val="0"/>
          <w:marRight w:val="0"/>
          <w:marTop w:val="0"/>
          <w:marBottom w:val="0"/>
          <w:divBdr>
            <w:top w:val="none" w:sz="0" w:space="0" w:color="auto"/>
            <w:left w:val="none" w:sz="0" w:space="0" w:color="auto"/>
            <w:bottom w:val="none" w:sz="0" w:space="0" w:color="auto"/>
            <w:right w:val="none" w:sz="0" w:space="0" w:color="auto"/>
          </w:divBdr>
        </w:div>
      </w:divsChild>
    </w:div>
    <w:div w:id="865796740">
      <w:bodyDiv w:val="1"/>
      <w:marLeft w:val="0"/>
      <w:marRight w:val="0"/>
      <w:marTop w:val="0"/>
      <w:marBottom w:val="0"/>
      <w:divBdr>
        <w:top w:val="none" w:sz="0" w:space="0" w:color="auto"/>
        <w:left w:val="none" w:sz="0" w:space="0" w:color="auto"/>
        <w:bottom w:val="none" w:sz="0" w:space="0" w:color="auto"/>
        <w:right w:val="none" w:sz="0" w:space="0" w:color="auto"/>
      </w:divBdr>
    </w:div>
    <w:div w:id="878935033">
      <w:bodyDiv w:val="1"/>
      <w:marLeft w:val="0"/>
      <w:marRight w:val="0"/>
      <w:marTop w:val="0"/>
      <w:marBottom w:val="0"/>
      <w:divBdr>
        <w:top w:val="none" w:sz="0" w:space="0" w:color="auto"/>
        <w:left w:val="none" w:sz="0" w:space="0" w:color="auto"/>
        <w:bottom w:val="none" w:sz="0" w:space="0" w:color="auto"/>
        <w:right w:val="none" w:sz="0" w:space="0" w:color="auto"/>
      </w:divBdr>
    </w:div>
    <w:div w:id="1084953820">
      <w:bodyDiv w:val="1"/>
      <w:marLeft w:val="0"/>
      <w:marRight w:val="0"/>
      <w:marTop w:val="0"/>
      <w:marBottom w:val="0"/>
      <w:divBdr>
        <w:top w:val="none" w:sz="0" w:space="0" w:color="auto"/>
        <w:left w:val="none" w:sz="0" w:space="0" w:color="auto"/>
        <w:bottom w:val="none" w:sz="0" w:space="0" w:color="auto"/>
        <w:right w:val="none" w:sz="0" w:space="0" w:color="auto"/>
      </w:divBdr>
    </w:div>
    <w:div w:id="1199004135">
      <w:bodyDiv w:val="1"/>
      <w:marLeft w:val="0"/>
      <w:marRight w:val="0"/>
      <w:marTop w:val="0"/>
      <w:marBottom w:val="0"/>
      <w:divBdr>
        <w:top w:val="none" w:sz="0" w:space="0" w:color="auto"/>
        <w:left w:val="none" w:sz="0" w:space="0" w:color="auto"/>
        <w:bottom w:val="none" w:sz="0" w:space="0" w:color="auto"/>
        <w:right w:val="none" w:sz="0" w:space="0" w:color="auto"/>
      </w:divBdr>
      <w:divsChild>
        <w:div w:id="1676836111">
          <w:marLeft w:val="0"/>
          <w:marRight w:val="0"/>
          <w:marTop w:val="0"/>
          <w:marBottom w:val="0"/>
          <w:divBdr>
            <w:top w:val="none" w:sz="0" w:space="0" w:color="auto"/>
            <w:left w:val="none" w:sz="0" w:space="0" w:color="auto"/>
            <w:bottom w:val="none" w:sz="0" w:space="0" w:color="auto"/>
            <w:right w:val="none" w:sz="0" w:space="0" w:color="auto"/>
          </w:divBdr>
        </w:div>
      </w:divsChild>
    </w:div>
    <w:div w:id="1470049238">
      <w:bodyDiv w:val="1"/>
      <w:marLeft w:val="0"/>
      <w:marRight w:val="0"/>
      <w:marTop w:val="0"/>
      <w:marBottom w:val="0"/>
      <w:divBdr>
        <w:top w:val="none" w:sz="0" w:space="0" w:color="auto"/>
        <w:left w:val="none" w:sz="0" w:space="0" w:color="auto"/>
        <w:bottom w:val="none" w:sz="0" w:space="0" w:color="auto"/>
        <w:right w:val="none" w:sz="0" w:space="0" w:color="auto"/>
      </w:divBdr>
      <w:divsChild>
        <w:div w:id="1304039044">
          <w:marLeft w:val="0"/>
          <w:marRight w:val="0"/>
          <w:marTop w:val="0"/>
          <w:marBottom w:val="0"/>
          <w:divBdr>
            <w:top w:val="none" w:sz="0" w:space="0" w:color="auto"/>
            <w:left w:val="none" w:sz="0" w:space="0" w:color="auto"/>
            <w:bottom w:val="none" w:sz="0" w:space="0" w:color="auto"/>
            <w:right w:val="none" w:sz="0" w:space="0" w:color="auto"/>
          </w:divBdr>
        </w:div>
      </w:divsChild>
    </w:div>
    <w:div w:id="1518275291">
      <w:bodyDiv w:val="1"/>
      <w:marLeft w:val="0"/>
      <w:marRight w:val="0"/>
      <w:marTop w:val="0"/>
      <w:marBottom w:val="0"/>
      <w:divBdr>
        <w:top w:val="none" w:sz="0" w:space="0" w:color="auto"/>
        <w:left w:val="none" w:sz="0" w:space="0" w:color="auto"/>
        <w:bottom w:val="none" w:sz="0" w:space="0" w:color="auto"/>
        <w:right w:val="none" w:sz="0" w:space="0" w:color="auto"/>
      </w:divBdr>
      <w:divsChild>
        <w:div w:id="732972503">
          <w:marLeft w:val="0"/>
          <w:marRight w:val="0"/>
          <w:marTop w:val="0"/>
          <w:marBottom w:val="0"/>
          <w:divBdr>
            <w:top w:val="none" w:sz="0" w:space="0" w:color="auto"/>
            <w:left w:val="none" w:sz="0" w:space="0" w:color="auto"/>
            <w:bottom w:val="none" w:sz="0" w:space="0" w:color="auto"/>
            <w:right w:val="none" w:sz="0" w:space="0" w:color="auto"/>
          </w:divBdr>
        </w:div>
      </w:divsChild>
    </w:div>
    <w:div w:id="1591545939">
      <w:bodyDiv w:val="1"/>
      <w:marLeft w:val="0"/>
      <w:marRight w:val="0"/>
      <w:marTop w:val="0"/>
      <w:marBottom w:val="0"/>
      <w:divBdr>
        <w:top w:val="none" w:sz="0" w:space="0" w:color="auto"/>
        <w:left w:val="none" w:sz="0" w:space="0" w:color="auto"/>
        <w:bottom w:val="none" w:sz="0" w:space="0" w:color="auto"/>
        <w:right w:val="none" w:sz="0" w:space="0" w:color="auto"/>
      </w:divBdr>
      <w:divsChild>
        <w:div w:id="1094016633">
          <w:marLeft w:val="0"/>
          <w:marRight w:val="0"/>
          <w:marTop w:val="0"/>
          <w:marBottom w:val="0"/>
          <w:divBdr>
            <w:top w:val="none" w:sz="0" w:space="0" w:color="auto"/>
            <w:left w:val="none" w:sz="0" w:space="0" w:color="auto"/>
            <w:bottom w:val="none" w:sz="0" w:space="0" w:color="auto"/>
            <w:right w:val="none" w:sz="0" w:space="0" w:color="auto"/>
          </w:divBdr>
        </w:div>
      </w:divsChild>
    </w:div>
    <w:div w:id="2016955365">
      <w:bodyDiv w:val="1"/>
      <w:marLeft w:val="0"/>
      <w:marRight w:val="0"/>
      <w:marTop w:val="0"/>
      <w:marBottom w:val="0"/>
      <w:divBdr>
        <w:top w:val="none" w:sz="0" w:space="0" w:color="auto"/>
        <w:left w:val="none" w:sz="0" w:space="0" w:color="auto"/>
        <w:bottom w:val="none" w:sz="0" w:space="0" w:color="auto"/>
        <w:right w:val="none" w:sz="0" w:space="0" w:color="auto"/>
      </w:divBdr>
    </w:div>
    <w:div w:id="2128040847">
      <w:bodyDiv w:val="1"/>
      <w:marLeft w:val="0"/>
      <w:marRight w:val="0"/>
      <w:marTop w:val="0"/>
      <w:marBottom w:val="0"/>
      <w:divBdr>
        <w:top w:val="none" w:sz="0" w:space="0" w:color="auto"/>
        <w:left w:val="none" w:sz="0" w:space="0" w:color="auto"/>
        <w:bottom w:val="none" w:sz="0" w:space="0" w:color="auto"/>
        <w:right w:val="none" w:sz="0" w:space="0" w:color="auto"/>
      </w:divBdr>
      <w:divsChild>
        <w:div w:id="1456290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012AB5FDAE7D45BC13BC54C7C92791" ma:contentTypeVersion="12" ma:contentTypeDescription="Crear nuevo documento." ma:contentTypeScope="" ma:versionID="ce79a55f1c9c9a6419a54d71104b4f17">
  <xsd:schema xmlns:xsd="http://www.w3.org/2001/XMLSchema" xmlns:xs="http://www.w3.org/2001/XMLSchema" xmlns:p="http://schemas.microsoft.com/office/2006/metadata/properties" xmlns:ns2="f714011b-fead-4bf4-8fb3-35d3f6c5dca6" xmlns:ns3="b1c8787f-f227-49f7-991a-b87b9795996f" targetNamespace="http://schemas.microsoft.com/office/2006/metadata/properties" ma:root="true" ma:fieldsID="a8271980c91b8692552e50fa33ed0890" ns2:_="" ns3:_="">
    <xsd:import namespace="f714011b-fead-4bf4-8fb3-35d3f6c5dca6"/>
    <xsd:import namespace="b1c8787f-f227-49f7-991a-b87b97959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ineamiento"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4011b-fead-4bf4-8fb3-35d3f6c5d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ineamiento" ma:index="15" nillable="true" ma:displayName="Detalle carpeta" ma:format="Dropdown" ma:internalName="Lineamiento">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c8787f-f227-49f7-991a-b87b9795996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68dcbd6-e700-4b5a-970b-bab383680322}" ma:internalName="TaxCatchAll" ma:showField="CatchAllData" ma:web="b1c8787f-f227-49f7-991a-b87b97959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c8787f-f227-49f7-991a-b87b9795996f" xsi:nil="true"/>
    <Lineamiento xmlns="f714011b-fead-4bf4-8fb3-35d3f6c5dca6" xsi:nil="true"/>
    <lcf76f155ced4ddcb4097134ff3c332f xmlns="f714011b-fead-4bf4-8fb3-35d3f6c5dc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4F6468-6DB2-4E99-B869-DE97A1A5A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4011b-fead-4bf4-8fb3-35d3f6c5dca6"/>
    <ds:schemaRef ds:uri="b1c8787f-f227-49f7-991a-b87b97959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10D05-7BF7-40EE-86FB-EFF92D9BE31C}">
  <ds:schemaRefs>
    <ds:schemaRef ds:uri="http://schemas.microsoft.com/sharepoint/v3/contenttype/forms"/>
  </ds:schemaRefs>
</ds:datastoreItem>
</file>

<file path=customXml/itemProps3.xml><?xml version="1.0" encoding="utf-8"?>
<ds:datastoreItem xmlns:ds="http://schemas.openxmlformats.org/officeDocument/2006/customXml" ds:itemID="{FA625312-A089-48B5-BA84-B0E6135B2CAD}">
  <ds:schemaRefs>
    <ds:schemaRef ds:uri="http://schemas.microsoft.com/office/2006/metadata/properties"/>
    <ds:schemaRef ds:uri="http://schemas.microsoft.com/office/infopath/2007/PartnerControls"/>
    <ds:schemaRef ds:uri="b1c8787f-f227-49f7-991a-b87b9795996f"/>
    <ds:schemaRef ds:uri="f714011b-fead-4bf4-8fb3-35d3f6c5dca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5613</Words>
  <Characters>30872</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ENRIQUE MEJIA PEÑA</dc:creator>
  <cp:keywords/>
  <dc:description/>
  <cp:lastModifiedBy>FERNANDO ENRIQUE MEJIA PEÑA</cp:lastModifiedBy>
  <cp:revision>28</cp:revision>
  <dcterms:created xsi:type="dcterms:W3CDTF">2026-04-08T20:35:00Z</dcterms:created>
  <dcterms:modified xsi:type="dcterms:W3CDTF">2026-08-03T20:26:00Z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0x010100FD012AB5FDAE7D45BC13BC54C7C92791</vt:lpwstr>
  </property>
  <property fmtid="{D5CDD505-2E9C-101B-9397-08002B2CF9AE}" pid="3" name="MediaServiceImageTags">
    <vt:lpwstr/>
  </property>
</Properties>
</file>